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仿宋" w:hAnsi="仿宋" w:eastAsia="仿宋"/>
          <w:b/>
          <w:bCs/>
          <w:sz w:val="32"/>
          <w:szCs w:val="32"/>
        </w:rPr>
      </w:pPr>
    </w:p>
    <w:p>
      <w:pPr>
        <w:pStyle w:val="2"/>
      </w:pPr>
    </w:p>
    <w:p>
      <w:pPr>
        <w:jc w:val="center"/>
        <w:rPr>
          <w:rFonts w:ascii="仿宋" w:hAnsi="仿宋" w:eastAsia="仿宋"/>
          <w:b/>
          <w:bCs/>
          <w:sz w:val="32"/>
          <w:szCs w:val="32"/>
        </w:rPr>
      </w:pPr>
    </w:p>
    <w:p>
      <w:pPr>
        <w:jc w:val="center"/>
        <w:rPr>
          <w:rFonts w:ascii="仿宋" w:hAnsi="仿宋" w:eastAsia="仿宋"/>
          <w:b/>
          <w:bCs/>
          <w:sz w:val="32"/>
          <w:szCs w:val="32"/>
        </w:rPr>
      </w:pPr>
    </w:p>
    <w:p>
      <w:pPr>
        <w:jc w:val="center"/>
        <w:rPr>
          <w:rFonts w:ascii="仿宋" w:hAnsi="仿宋" w:eastAsia="仿宋"/>
          <w:b/>
          <w:bCs/>
          <w:sz w:val="32"/>
          <w:szCs w:val="32"/>
        </w:rPr>
      </w:pPr>
    </w:p>
    <w:p>
      <w:pPr>
        <w:jc w:val="center"/>
        <w:rPr>
          <w:rFonts w:ascii="仿宋" w:hAnsi="仿宋" w:eastAsia="仿宋"/>
          <w:b/>
          <w:bCs/>
          <w:sz w:val="44"/>
          <w:szCs w:val="44"/>
        </w:rPr>
      </w:pPr>
      <w:r>
        <w:rPr>
          <w:rFonts w:hint="eastAsia" w:ascii="仿宋" w:hAnsi="仿宋" w:eastAsia="仿宋"/>
          <w:b/>
          <w:bCs/>
          <w:sz w:val="44"/>
          <w:szCs w:val="44"/>
        </w:rPr>
        <w:t>2024年度包头市中心医院预算公开</w:t>
      </w:r>
    </w:p>
    <w:p>
      <w:pPr>
        <w:adjustRightInd w:val="0"/>
        <w:snapToGrid w:val="0"/>
        <w:spacing w:line="360" w:lineRule="auto"/>
        <w:ind w:firstLine="640"/>
        <w:rPr>
          <w:rFonts w:ascii="仿宋" w:hAnsi="仿宋" w:eastAsia="仿宋"/>
          <w:sz w:val="32"/>
          <w:szCs w:val="32"/>
        </w:rPr>
      </w:pPr>
    </w:p>
    <w:p>
      <w:pPr>
        <w:adjustRightInd w:val="0"/>
        <w:snapToGrid w:val="0"/>
        <w:spacing w:line="360" w:lineRule="auto"/>
        <w:ind w:firstLine="640"/>
        <w:rPr>
          <w:rFonts w:ascii="仿宋" w:hAnsi="仿宋" w:eastAsia="仿宋"/>
          <w:sz w:val="32"/>
          <w:szCs w:val="32"/>
        </w:rPr>
      </w:pPr>
    </w:p>
    <w:p>
      <w:pPr>
        <w:adjustRightInd w:val="0"/>
        <w:snapToGrid w:val="0"/>
        <w:spacing w:line="360" w:lineRule="auto"/>
        <w:ind w:firstLine="640"/>
        <w:rPr>
          <w:rFonts w:ascii="仿宋" w:hAnsi="仿宋" w:eastAsia="仿宋"/>
          <w:sz w:val="32"/>
          <w:szCs w:val="32"/>
        </w:rPr>
      </w:pPr>
    </w:p>
    <w:p>
      <w:pPr>
        <w:adjustRightInd w:val="0"/>
        <w:snapToGrid w:val="0"/>
        <w:spacing w:line="360" w:lineRule="auto"/>
        <w:ind w:firstLine="640"/>
        <w:rPr>
          <w:rFonts w:ascii="仿宋" w:hAnsi="仿宋" w:eastAsia="仿宋"/>
          <w:sz w:val="32"/>
          <w:szCs w:val="32"/>
        </w:rPr>
      </w:pPr>
    </w:p>
    <w:p>
      <w:pPr>
        <w:adjustRightInd w:val="0"/>
        <w:snapToGrid w:val="0"/>
        <w:spacing w:line="360" w:lineRule="auto"/>
        <w:ind w:firstLine="640"/>
        <w:rPr>
          <w:rFonts w:ascii="仿宋" w:hAnsi="仿宋" w:eastAsia="仿宋"/>
          <w:sz w:val="32"/>
          <w:szCs w:val="32"/>
        </w:rPr>
      </w:pPr>
    </w:p>
    <w:p>
      <w:pPr>
        <w:adjustRightInd w:val="0"/>
        <w:snapToGrid w:val="0"/>
        <w:spacing w:line="360" w:lineRule="auto"/>
        <w:ind w:firstLine="640"/>
        <w:rPr>
          <w:rFonts w:ascii="仿宋" w:hAnsi="仿宋" w:eastAsia="仿宋"/>
          <w:sz w:val="32"/>
          <w:szCs w:val="32"/>
        </w:rPr>
      </w:pPr>
    </w:p>
    <w:p>
      <w:pPr>
        <w:adjustRightInd w:val="0"/>
        <w:snapToGrid w:val="0"/>
        <w:spacing w:line="360" w:lineRule="auto"/>
        <w:ind w:firstLine="640"/>
        <w:rPr>
          <w:rFonts w:ascii="仿宋" w:hAnsi="仿宋" w:eastAsia="仿宋"/>
          <w:sz w:val="32"/>
          <w:szCs w:val="32"/>
        </w:rPr>
      </w:pPr>
    </w:p>
    <w:p>
      <w:pPr>
        <w:adjustRightInd w:val="0"/>
        <w:snapToGrid w:val="0"/>
        <w:spacing w:line="360" w:lineRule="auto"/>
        <w:ind w:firstLine="640"/>
        <w:rPr>
          <w:rFonts w:ascii="仿宋" w:hAnsi="仿宋" w:eastAsia="仿宋"/>
          <w:sz w:val="32"/>
          <w:szCs w:val="32"/>
        </w:rPr>
      </w:pPr>
    </w:p>
    <w:p>
      <w:pPr>
        <w:adjustRightInd w:val="0"/>
        <w:snapToGrid w:val="0"/>
        <w:spacing w:line="360" w:lineRule="auto"/>
        <w:ind w:firstLine="640"/>
        <w:rPr>
          <w:rFonts w:ascii="仿宋" w:hAnsi="仿宋" w:eastAsia="仿宋"/>
          <w:sz w:val="32"/>
          <w:szCs w:val="32"/>
        </w:rPr>
      </w:pPr>
    </w:p>
    <w:p>
      <w:pPr>
        <w:adjustRightInd w:val="0"/>
        <w:snapToGrid w:val="0"/>
        <w:spacing w:line="360" w:lineRule="auto"/>
        <w:ind w:firstLine="640"/>
        <w:rPr>
          <w:rFonts w:ascii="仿宋" w:hAnsi="仿宋" w:eastAsia="仿宋"/>
          <w:sz w:val="32"/>
          <w:szCs w:val="32"/>
        </w:rPr>
      </w:pPr>
    </w:p>
    <w:p>
      <w:pPr>
        <w:adjustRightInd w:val="0"/>
        <w:snapToGrid w:val="0"/>
        <w:spacing w:line="360" w:lineRule="auto"/>
        <w:ind w:firstLine="640"/>
        <w:jc w:val="center"/>
        <w:rPr>
          <w:rFonts w:ascii="仿宋" w:hAnsi="仿宋" w:eastAsia="仿宋" w:cs="黑体"/>
          <w:sz w:val="32"/>
          <w:szCs w:val="32"/>
        </w:rPr>
      </w:pPr>
      <w:r>
        <w:rPr>
          <w:rFonts w:hint="eastAsia" w:ascii="仿宋" w:hAnsi="仿宋" w:eastAsia="仿宋" w:cs="黑体"/>
          <w:sz w:val="32"/>
          <w:szCs w:val="32"/>
        </w:rPr>
        <w:t>批复时间：2024年2月8日</w:t>
      </w:r>
    </w:p>
    <w:p>
      <w:pPr>
        <w:pStyle w:val="2"/>
        <w:ind w:firstLine="2720" w:firstLineChars="850"/>
        <w:rPr>
          <w:rFonts w:ascii="仿宋" w:hAnsi="仿宋" w:eastAsia="仿宋"/>
          <w:b w:val="0"/>
        </w:rPr>
      </w:pPr>
      <w:r>
        <w:rPr>
          <w:rFonts w:ascii="仿宋" w:hAnsi="仿宋" w:eastAsia="仿宋"/>
          <w:b w:val="0"/>
        </w:rPr>
        <w:t>公开时间：2024年2月26日</w:t>
      </w:r>
    </w:p>
    <w:p>
      <w:pPr>
        <w:adjustRightInd w:val="0"/>
        <w:snapToGrid w:val="0"/>
        <w:spacing w:line="360" w:lineRule="auto"/>
        <w:ind w:firstLine="640"/>
        <w:rPr>
          <w:rFonts w:hint="eastAsia" w:ascii="仿宋" w:hAnsi="仿宋" w:eastAsia="仿宋"/>
          <w:sz w:val="32"/>
          <w:szCs w:val="32"/>
        </w:rPr>
      </w:pPr>
    </w:p>
    <w:p>
      <w:pPr>
        <w:pStyle w:val="2"/>
      </w:pPr>
    </w:p>
    <w:p>
      <w:pPr>
        <w:pStyle w:val="2"/>
      </w:pPr>
    </w:p>
    <w:p>
      <w:pPr>
        <w:pStyle w:val="4"/>
        <w:tabs>
          <w:tab w:val="left" w:pos="4533"/>
        </w:tabs>
        <w:spacing w:before="0" w:after="0" w:line="415" w:lineRule="auto"/>
        <w:ind w:firstLine="0" w:firstLineChars="0"/>
        <w:jc w:val="center"/>
        <w:rPr>
          <w:rFonts w:ascii="仿宋" w:hAnsi="仿宋" w:eastAsia="仿宋"/>
        </w:rPr>
      </w:pPr>
      <w:r>
        <w:rPr>
          <w:rFonts w:ascii="仿宋" w:hAnsi="仿宋" w:eastAsia="仿宋"/>
        </w:rPr>
        <w:t>目录</w:t>
      </w:r>
    </w:p>
    <w:p>
      <w:pPr>
        <w:pStyle w:val="7"/>
      </w:pPr>
      <w:r>
        <w:rPr>
          <w:rFonts w:hint="eastAsia"/>
        </w:rPr>
        <w:t>第一部分 单位概况</w:t>
      </w:r>
    </w:p>
    <w:p>
      <w:pPr>
        <w:pStyle w:val="7"/>
        <w:ind w:firstLine="605"/>
        <w:rPr>
          <w:highlight w:val="yellow"/>
        </w:rPr>
      </w:pPr>
      <w:r>
        <w:rPr>
          <w:rFonts w:hint="eastAsia"/>
          <w:w w:val="95"/>
        </w:rPr>
        <w:t>一、主要职能、职责</w:t>
      </w:r>
    </w:p>
    <w:p>
      <w:pPr>
        <w:pStyle w:val="7"/>
      </w:pPr>
      <w:r>
        <w:rPr>
          <w:rFonts w:hint="eastAsia"/>
        </w:rPr>
        <w:t>二、单位机构设置</w:t>
      </w:r>
      <w:r>
        <w:rPr>
          <w:rFonts w:hint="eastAsia" w:cs="宋体"/>
        </w:rPr>
        <w:t>及预算单位构成情况</w:t>
      </w:r>
    </w:p>
    <w:p>
      <w:pPr>
        <w:pStyle w:val="7"/>
        <w:rPr>
          <w:rFonts w:cs="黑体"/>
        </w:rPr>
      </w:pPr>
      <w:r>
        <w:rPr>
          <w:rFonts w:hint="eastAsia"/>
        </w:rPr>
        <w:t>三、2024年度单位主要工作任务及目标</w:t>
      </w:r>
    </w:p>
    <w:p>
      <w:pPr>
        <w:pStyle w:val="7"/>
      </w:pPr>
      <w:r>
        <w:rPr>
          <w:rFonts w:hint="eastAsia"/>
        </w:rPr>
        <w:t>第二部分 2024年度单位预算情况说明</w:t>
      </w:r>
    </w:p>
    <w:p>
      <w:pPr>
        <w:pStyle w:val="7"/>
      </w:pPr>
      <w:r>
        <w:rPr>
          <w:rFonts w:hint="eastAsia"/>
        </w:rPr>
        <w:t>一、收支预算总体情况说明</w:t>
      </w:r>
    </w:p>
    <w:p>
      <w:pPr>
        <w:pStyle w:val="7"/>
      </w:pPr>
      <w:r>
        <w:rPr>
          <w:rFonts w:hint="eastAsia"/>
        </w:rPr>
        <w:t>二、收入预算情况说明</w:t>
      </w:r>
    </w:p>
    <w:p>
      <w:pPr>
        <w:pStyle w:val="7"/>
      </w:pPr>
      <w:r>
        <w:rPr>
          <w:rFonts w:hint="eastAsia"/>
        </w:rPr>
        <w:t>三、支出预算情况说明</w:t>
      </w:r>
    </w:p>
    <w:p>
      <w:pPr>
        <w:pStyle w:val="7"/>
      </w:pPr>
      <w:r>
        <w:rPr>
          <w:rFonts w:hint="eastAsia"/>
        </w:rPr>
        <w:t>四、财政拨款收支预算总体情况说明</w:t>
      </w:r>
    </w:p>
    <w:p>
      <w:pPr>
        <w:pStyle w:val="7"/>
      </w:pPr>
      <w:r>
        <w:rPr>
          <w:rFonts w:hint="eastAsia"/>
        </w:rPr>
        <w:t>五、一般公共预算支出预算情况说明</w:t>
      </w:r>
    </w:p>
    <w:p>
      <w:pPr>
        <w:pStyle w:val="7"/>
      </w:pPr>
      <w:r>
        <w:rPr>
          <w:rFonts w:hint="eastAsia"/>
        </w:rPr>
        <w:t>六、一般公共预算基本支出预算情况说明</w:t>
      </w:r>
    </w:p>
    <w:p>
      <w:pPr>
        <w:pStyle w:val="7"/>
      </w:pPr>
      <w:r>
        <w:rPr>
          <w:rFonts w:hint="eastAsia"/>
        </w:rPr>
        <w:t>七、一般公共预算“三公”经费支出预算情况说明</w:t>
      </w:r>
    </w:p>
    <w:p>
      <w:pPr>
        <w:pStyle w:val="7"/>
      </w:pPr>
      <w:r>
        <w:rPr>
          <w:rFonts w:hint="eastAsia"/>
        </w:rPr>
        <w:t>八、政府性基金预算支出预算情况说明</w:t>
      </w:r>
    </w:p>
    <w:p>
      <w:pPr>
        <w:pStyle w:val="7"/>
      </w:pPr>
      <w:r>
        <w:rPr>
          <w:rFonts w:hint="eastAsia"/>
        </w:rPr>
        <w:t>九、国有资本经营预算支出预算情况说明</w:t>
      </w:r>
    </w:p>
    <w:p>
      <w:pPr>
        <w:pStyle w:val="7"/>
      </w:pPr>
      <w:r>
        <w:rPr>
          <w:rFonts w:hint="eastAsia"/>
        </w:rPr>
        <w:t>十、项目支出预算情况说明</w:t>
      </w:r>
    </w:p>
    <w:p>
      <w:pPr>
        <w:pStyle w:val="7"/>
      </w:pPr>
      <w:r>
        <w:rPr>
          <w:rFonts w:hint="eastAsia"/>
        </w:rPr>
        <w:t>十一、一般公共预算机关运行经费支出预算情况说明</w:t>
      </w:r>
    </w:p>
    <w:p>
      <w:pPr>
        <w:pStyle w:val="7"/>
      </w:pPr>
      <w:r>
        <w:rPr>
          <w:rFonts w:hint="eastAsia"/>
        </w:rPr>
        <w:t>十二、政府采购支出预算情况说明</w:t>
      </w:r>
    </w:p>
    <w:p>
      <w:pPr>
        <w:pStyle w:val="7"/>
        <w:rPr>
          <w:rFonts w:hint="eastAsia"/>
        </w:rPr>
      </w:pPr>
      <w:r>
        <w:rPr>
          <w:rFonts w:hint="eastAsia"/>
        </w:rPr>
        <w:t>十三、国有资产占用情况说明</w:t>
      </w:r>
    </w:p>
    <w:p>
      <w:pPr>
        <w:pStyle w:val="7"/>
      </w:pPr>
      <w:r>
        <w:rPr>
          <w:rFonts w:hint="eastAsia" w:cs="仿宋"/>
        </w:rPr>
        <w:t>十四、项目绩效目标情况说明</w:t>
      </w:r>
    </w:p>
    <w:p>
      <w:pPr>
        <w:pStyle w:val="7"/>
      </w:pPr>
      <w:r>
        <w:rPr>
          <w:rFonts w:hint="eastAsia"/>
        </w:rPr>
        <w:t>第三部分 名词解释</w:t>
      </w:r>
    </w:p>
    <w:p>
      <w:pPr>
        <w:pStyle w:val="7"/>
      </w:pPr>
      <w:r>
        <w:rPr>
          <w:rFonts w:hint="eastAsia"/>
        </w:rPr>
        <w:t>第四部分 预算公开联系方式及信息反馈渠道</w:t>
      </w:r>
    </w:p>
    <w:p>
      <w:pPr>
        <w:pStyle w:val="7"/>
      </w:pPr>
      <w:r>
        <w:rPr>
          <w:rFonts w:hint="eastAsia"/>
        </w:rPr>
        <w:t>第五部分 2024年度单位预算表</w:t>
      </w:r>
    </w:p>
    <w:p>
      <w:pPr>
        <w:pStyle w:val="7"/>
      </w:pPr>
      <w:r>
        <w:rPr>
          <w:rFonts w:hint="eastAsia"/>
        </w:rPr>
        <w:t>一、收支总表</w:t>
      </w:r>
    </w:p>
    <w:p>
      <w:pPr>
        <w:pStyle w:val="7"/>
      </w:pPr>
      <w:r>
        <w:rPr>
          <w:rFonts w:hint="eastAsia"/>
        </w:rPr>
        <w:t>二、收入总表</w:t>
      </w:r>
    </w:p>
    <w:p>
      <w:pPr>
        <w:pStyle w:val="7"/>
        <w:ind w:firstLine="605"/>
      </w:pPr>
      <w:r>
        <w:rPr>
          <w:rFonts w:hint="eastAsia"/>
          <w:w w:val="95"/>
        </w:rPr>
        <w:t>三、支出总表</w:t>
      </w:r>
    </w:p>
    <w:p>
      <w:pPr>
        <w:pStyle w:val="7"/>
        <w:ind w:firstLine="605"/>
      </w:pPr>
      <w:r>
        <w:rPr>
          <w:rFonts w:hint="eastAsia"/>
          <w:w w:val="95"/>
        </w:rPr>
        <w:t>四、财政拨款收支总表</w:t>
      </w:r>
    </w:p>
    <w:p>
      <w:pPr>
        <w:pStyle w:val="7"/>
        <w:ind w:firstLine="605"/>
      </w:pPr>
      <w:r>
        <w:rPr>
          <w:rFonts w:hint="eastAsia"/>
          <w:w w:val="95"/>
        </w:rPr>
        <w:t>五、一般公共预算支出表</w:t>
      </w:r>
    </w:p>
    <w:p>
      <w:pPr>
        <w:pStyle w:val="7"/>
        <w:ind w:firstLine="605"/>
      </w:pPr>
      <w:r>
        <w:rPr>
          <w:rFonts w:hint="eastAsia"/>
          <w:w w:val="95"/>
        </w:rPr>
        <w:t>六、一般公共预算基本支出表</w:t>
      </w:r>
    </w:p>
    <w:p>
      <w:pPr>
        <w:pStyle w:val="7"/>
        <w:ind w:firstLine="605"/>
        <w:rPr>
          <w:spacing w:val="-16"/>
          <w:w w:val="95"/>
        </w:rPr>
      </w:pPr>
      <w:r>
        <w:rPr>
          <w:rFonts w:hint="eastAsia"/>
          <w:w w:val="95"/>
        </w:rPr>
        <w:t>七、一般公共预算</w:t>
      </w:r>
      <w:r>
        <w:rPr>
          <w:rFonts w:hint="eastAsia"/>
          <w:spacing w:val="-8"/>
          <w:w w:val="95"/>
        </w:rPr>
        <w:t>“</w:t>
      </w:r>
      <w:r>
        <w:rPr>
          <w:rFonts w:hint="eastAsia"/>
          <w:spacing w:val="-15"/>
          <w:w w:val="95"/>
        </w:rPr>
        <w:t>三公</w:t>
      </w:r>
      <w:r>
        <w:rPr>
          <w:rFonts w:hint="eastAsia"/>
          <w:spacing w:val="-10"/>
          <w:w w:val="95"/>
        </w:rPr>
        <w:t>”</w:t>
      </w:r>
      <w:r>
        <w:rPr>
          <w:rFonts w:hint="eastAsia"/>
          <w:spacing w:val="-16"/>
          <w:w w:val="95"/>
        </w:rPr>
        <w:t>经费支出表</w:t>
      </w:r>
    </w:p>
    <w:p>
      <w:pPr>
        <w:pStyle w:val="7"/>
        <w:ind w:firstLine="605"/>
      </w:pPr>
      <w:r>
        <w:rPr>
          <w:rFonts w:hint="eastAsia"/>
          <w:w w:val="95"/>
        </w:rPr>
        <w:t>八、政府性基金预算支出表</w:t>
      </w:r>
    </w:p>
    <w:p>
      <w:pPr>
        <w:pStyle w:val="7"/>
      </w:pPr>
      <w:r>
        <w:rPr>
          <w:rFonts w:hint="eastAsia"/>
        </w:rPr>
        <w:t>九、国有资本经营预算支出表</w:t>
      </w:r>
    </w:p>
    <w:p>
      <w:pPr>
        <w:pStyle w:val="7"/>
      </w:pPr>
      <w:r>
        <w:rPr>
          <w:rFonts w:hint="eastAsia"/>
        </w:rPr>
        <w:t>十、项目支出表</w:t>
      </w:r>
    </w:p>
    <w:p>
      <w:pPr>
        <w:pStyle w:val="7"/>
      </w:pPr>
      <w:r>
        <w:rPr>
          <w:rFonts w:hint="eastAsia"/>
        </w:rPr>
        <w:t>十一、项目绩效目标表</w:t>
      </w:r>
    </w:p>
    <w:p>
      <w:pPr>
        <w:pStyle w:val="7"/>
        <w:ind w:firstLine="605"/>
      </w:pPr>
      <w:r>
        <w:rPr>
          <w:rFonts w:hint="eastAsia"/>
          <w:w w:val="95"/>
        </w:rPr>
        <w:t>十二、政府采购预算表</w:t>
      </w:r>
    </w:p>
    <w:p>
      <w:pPr>
        <w:pStyle w:val="2"/>
        <w:sectPr>
          <w:headerReference r:id="rId3" w:type="default"/>
          <w:footerReference r:id="rId4" w:type="default"/>
          <w:pgSz w:w="11910" w:h="16840"/>
          <w:pgMar w:top="2098" w:right="1474" w:bottom="1985" w:left="1588" w:header="720" w:footer="720" w:gutter="0"/>
          <w:pgNumType w:fmt="numberInDash"/>
          <w:cols w:space="0" w:num="1"/>
        </w:sectPr>
      </w:pPr>
    </w:p>
    <w:p>
      <w:pPr>
        <w:pStyle w:val="5"/>
      </w:pPr>
      <w:r>
        <w:rPr>
          <w:rFonts w:hint="eastAsia"/>
        </w:rPr>
        <w:t>第一部分 单位概况</w:t>
      </w:r>
    </w:p>
    <w:p>
      <w:pPr>
        <w:kinsoku w:val="0"/>
        <w:wordWrap w:val="0"/>
        <w:spacing w:line="560" w:lineRule="atLeast"/>
        <w:ind w:firstLine="643" w:firstLineChars="200"/>
        <w:outlineLvl w:val="0"/>
        <w:rPr>
          <w:rFonts w:ascii="黑体" w:hAnsi="黑体" w:eastAsia="黑体" w:cs="黑体"/>
          <w:b/>
          <w:bCs/>
          <w:sz w:val="32"/>
          <w:szCs w:val="32"/>
        </w:rPr>
      </w:pPr>
      <w:r>
        <w:rPr>
          <w:rFonts w:hint="eastAsia" w:ascii="黑体" w:hAnsi="黑体" w:eastAsia="黑体" w:cs="黑体"/>
          <w:b/>
          <w:bCs/>
          <w:sz w:val="32"/>
          <w:szCs w:val="32"/>
        </w:rPr>
        <w:t>一、主要职能职责</w:t>
      </w:r>
    </w:p>
    <w:p>
      <w:pPr>
        <w:pStyle w:val="2"/>
      </w:pPr>
      <w:r>
        <w:t>（一）主要职能</w:t>
      </w:r>
    </w:p>
    <w:p>
      <w:pPr>
        <w:kinsoku w:val="0"/>
        <w:wordWrap w:val="0"/>
        <w:spacing w:line="560" w:lineRule="atLeast"/>
        <w:ind w:firstLine="640" w:firstLineChars="200"/>
        <w:outlineLvl w:val="0"/>
        <w:rPr>
          <w:rFonts w:ascii="仿宋" w:hAnsi="仿宋" w:eastAsia="仿宋" w:cs="仿宋"/>
          <w:sz w:val="32"/>
          <w:szCs w:val="32"/>
        </w:rPr>
      </w:pPr>
      <w:r>
        <w:rPr>
          <w:rFonts w:hint="eastAsia" w:ascii="仿宋" w:hAnsi="仿宋" w:eastAsia="仿宋" w:cs="仿宋"/>
          <w:sz w:val="32"/>
          <w:szCs w:val="32"/>
        </w:rPr>
        <w:t>包头市中心医院创建于1942年（原名官立包头医院、包头市立医院、绥远省立包头医院、绥远省立人民医院、包头市立人民医院、包头市第二医院），是包头历史上第一所地方性综合医院，是集医疗、教学、科研、预防保健、康复与健康管理于一体的三级甲等综合医院。</w:t>
      </w:r>
    </w:p>
    <w:p>
      <w:pPr>
        <w:pStyle w:val="2"/>
      </w:pPr>
      <w:r>
        <w:t>（二）主要职责</w:t>
      </w:r>
    </w:p>
    <w:p>
      <w:pPr>
        <w:kinsoku w:val="0"/>
        <w:wordWrap w:val="0"/>
        <w:spacing w:line="560" w:lineRule="atLeast"/>
        <w:ind w:firstLine="640" w:firstLineChars="200"/>
        <w:outlineLvl w:val="0"/>
        <w:rPr>
          <w:rFonts w:ascii="仿宋" w:hAnsi="仿宋" w:eastAsia="仿宋" w:cs="仿宋"/>
          <w:sz w:val="32"/>
          <w:szCs w:val="32"/>
        </w:rPr>
      </w:pPr>
      <w:r>
        <w:rPr>
          <w:rFonts w:hint="eastAsia" w:ascii="仿宋" w:hAnsi="仿宋" w:eastAsia="仿宋" w:cs="仿宋"/>
          <w:sz w:val="32"/>
          <w:szCs w:val="32"/>
        </w:rPr>
        <w:t>提供急危重症病人的救治；重大疑难疾病诊治；推广应用中医药适宜技术；承担部分公共卫生服务。业务范围包括医疗与护理、医学教学、医学研究、卫生医疗人员培训、卫生技术人员继续教育、保健与健康教育。</w:t>
      </w:r>
    </w:p>
    <w:p>
      <w:pPr>
        <w:kinsoku w:val="0"/>
        <w:wordWrap w:val="0"/>
        <w:spacing w:line="560" w:lineRule="atLeast"/>
        <w:ind w:left="17" w:leftChars="8" w:firstLine="624" w:firstLineChars="195"/>
        <w:outlineLvl w:val="0"/>
        <w:rPr>
          <w:rFonts w:ascii="仿宋" w:hAnsi="仿宋" w:eastAsia="仿宋"/>
          <w:sz w:val="32"/>
          <w:szCs w:val="32"/>
        </w:rPr>
      </w:pPr>
      <w:r>
        <w:rPr>
          <w:rFonts w:hint="eastAsia" w:ascii="仿宋" w:hAnsi="仿宋" w:eastAsia="仿宋" w:cs="仿宋"/>
          <w:sz w:val="32"/>
          <w:szCs w:val="32"/>
        </w:rPr>
        <w:t>包头市中心医院是内蒙古医科大学包头临床医学院，包头医学院中心临床医学院，同济大学教学医院，国家住院医师规范化培训基地。被卫生部授予“全国百佳医院”、“全国卫生系统先进集体”称号，首批荣获“全国百姓放心示范医院”。</w:t>
      </w:r>
    </w:p>
    <w:p>
      <w:pPr>
        <w:kinsoku w:val="0"/>
        <w:wordWrap w:val="0"/>
        <w:spacing w:line="560" w:lineRule="atLeast"/>
        <w:ind w:firstLine="643" w:firstLineChars="200"/>
        <w:outlineLvl w:val="0"/>
        <w:rPr>
          <w:rFonts w:ascii="黑体" w:hAnsi="黑体" w:eastAsia="黑体" w:cs="黑体"/>
          <w:b/>
          <w:bCs/>
          <w:sz w:val="32"/>
          <w:szCs w:val="32"/>
        </w:rPr>
      </w:pPr>
      <w:r>
        <w:rPr>
          <w:rFonts w:hint="eastAsia" w:ascii="黑体" w:hAnsi="黑体" w:eastAsia="黑体" w:cs="黑体"/>
          <w:b/>
          <w:bCs/>
          <w:sz w:val="32"/>
          <w:szCs w:val="32"/>
        </w:rPr>
        <w:t>二、单位机构设置及预算单位构成情况</w:t>
      </w:r>
    </w:p>
    <w:p>
      <w:pPr>
        <w:kinsoku w:val="0"/>
        <w:wordWrap w:val="0"/>
        <w:spacing w:line="560" w:lineRule="atLeast"/>
        <w:ind w:firstLine="640" w:firstLineChars="200"/>
        <w:jc w:val="left"/>
        <w:rPr>
          <w:rFonts w:ascii="仿宋" w:hAnsi="仿宋" w:eastAsia="仿宋" w:cstheme="minorBidi"/>
          <w:sz w:val="32"/>
          <w:szCs w:val="32"/>
        </w:rPr>
      </w:pPr>
      <w:r>
        <w:rPr>
          <w:rFonts w:hint="eastAsia" w:ascii="仿宋" w:hAnsi="仿宋" w:eastAsia="仿宋" w:cstheme="minorBidi"/>
          <w:sz w:val="32"/>
          <w:szCs w:val="32"/>
        </w:rPr>
        <w:t>1．根据单位职责分工，本单位内设机构包括:感染性疾病科、预防保健科、重症医学科、全科医疗科、内科(呼吸内科专业、消化内科专业、神经内科专业、心血管内科专业、肾病学专业【血液透析室】、免疫学专业、内分泌专业、血液内科专业)、外科(普外科专业、神经外科专业、骨科专业、泌尿外科专业、心血管外科专业、胸外科专业、烧伤科专业、整形外科专业)、妇产科(妇科专业、产科专业、计划生育专业)、妇女保健科、儿童保健科、儿科、小儿外科、肿瘤科、眼科、耳鼻喉科、口腔科、皮肤病科、急诊医学科、中医科、康复医学科、医疗美容科(美容皮肤专业、美容牙齿专业、美容外科专业【一级、二级、三级、四级】)麻醉科、病理科、医学检验科(临床体液血液专业、临床微生物专业、临床生化专业、临床免疫血清学专业、临床细胞分子遗传学专业【PCR】)、医学影像科(X线诊断专业、CT诊断专业、磁共振成像诊断专业、核医学专业、超声诊断专业、心电诊断专业、脑电及脑血流图诊断专业、神经肌肉电图专业、介入放射学专业、放射治疗专业)、疼痛科、健康体检科。本单位无下属单位。</w:t>
      </w:r>
    </w:p>
    <w:p>
      <w:pPr>
        <w:kinsoku w:val="0"/>
        <w:wordWrap w:val="0"/>
        <w:spacing w:line="560" w:lineRule="atLeast"/>
        <w:ind w:firstLine="640" w:firstLineChars="200"/>
        <w:jc w:val="left"/>
        <w:rPr>
          <w:rFonts w:ascii="仿宋" w:hAnsi="仿宋" w:eastAsia="仿宋" w:cstheme="minorBidi"/>
          <w:sz w:val="32"/>
          <w:szCs w:val="32"/>
        </w:rPr>
      </w:pPr>
      <w:r>
        <w:rPr>
          <w:rFonts w:hint="eastAsia" w:ascii="仿宋" w:hAnsi="仿宋" w:eastAsia="仿宋" w:cstheme="minorBidi"/>
          <w:sz w:val="32"/>
          <w:szCs w:val="32"/>
        </w:rPr>
        <w:t>2．从预算单位构成看，纳入本单位2024年单位汇总预算编制范围的预算单位共计1家，具体包括：包头市中心医院。</w:t>
      </w:r>
    </w:p>
    <w:p>
      <w:pPr>
        <w:tabs>
          <w:tab w:val="left" w:pos="3532"/>
        </w:tabs>
        <w:kinsoku w:val="0"/>
        <w:wordWrap w:val="0"/>
        <w:spacing w:line="560" w:lineRule="atLeast"/>
        <w:ind w:firstLine="645"/>
        <w:jc w:val="center"/>
        <w:rPr>
          <w:rFonts w:ascii="仿宋" w:hAnsi="仿宋" w:eastAsia="仿宋" w:cs="仿宋"/>
          <w:b/>
          <w:bCs/>
          <w:sz w:val="32"/>
          <w:szCs w:val="32"/>
        </w:rPr>
      </w:pPr>
      <w:r>
        <w:rPr>
          <w:rFonts w:hint="eastAsia" w:ascii="仿宋" w:hAnsi="仿宋" w:eastAsia="仿宋" w:cs="仿宋"/>
          <w:b/>
          <w:bCs/>
          <w:sz w:val="32"/>
          <w:szCs w:val="32"/>
        </w:rPr>
        <w:t>单位情况表</w:t>
      </w:r>
    </w:p>
    <w:tbl>
      <w:tblPr>
        <w:tblStyle w:val="11"/>
        <w:tblW w:w="8639" w:type="dxa"/>
        <w:jc w:val="center"/>
        <w:tblLayout w:type="fixed"/>
        <w:tblCellMar>
          <w:top w:w="0" w:type="dxa"/>
          <w:left w:w="108" w:type="dxa"/>
          <w:bottom w:w="0" w:type="dxa"/>
          <w:right w:w="108" w:type="dxa"/>
        </w:tblCellMar>
      </w:tblPr>
      <w:tblGrid>
        <w:gridCol w:w="968"/>
        <w:gridCol w:w="3559"/>
        <w:gridCol w:w="4112"/>
      </w:tblGrid>
      <w:tr>
        <w:tblPrEx>
          <w:tblCellMar>
            <w:top w:w="0" w:type="dxa"/>
            <w:left w:w="108" w:type="dxa"/>
            <w:bottom w:w="0" w:type="dxa"/>
            <w:right w:w="108" w:type="dxa"/>
          </w:tblCellMar>
        </w:tblPrEx>
        <w:trPr>
          <w:trHeight w:val="660" w:hRule="atLeast"/>
          <w:jc w:val="center"/>
        </w:trPr>
        <w:tc>
          <w:tcPr>
            <w:tcW w:w="968" w:type="dxa"/>
            <w:tcBorders>
              <w:top w:val="single" w:color="auto" w:sz="4" w:space="0"/>
              <w:left w:val="single" w:color="auto" w:sz="4" w:space="0"/>
              <w:bottom w:val="single" w:color="auto" w:sz="4" w:space="0"/>
              <w:right w:val="single" w:color="auto" w:sz="4" w:space="0"/>
            </w:tcBorders>
            <w:noWrap/>
            <w:vAlign w:val="center"/>
          </w:tcPr>
          <w:p>
            <w:pPr>
              <w:kinsoku w:val="0"/>
              <w:wordWrap w:val="0"/>
              <w:spacing w:line="560" w:lineRule="atLeast"/>
              <w:jc w:val="center"/>
              <w:rPr>
                <w:rFonts w:ascii="仿宋" w:hAnsi="仿宋" w:eastAsia="仿宋" w:cs="仿宋"/>
                <w:kern w:val="0"/>
                <w:sz w:val="32"/>
                <w:szCs w:val="32"/>
              </w:rPr>
            </w:pPr>
            <w:r>
              <w:rPr>
                <w:rFonts w:hint="eastAsia" w:ascii="仿宋" w:hAnsi="仿宋" w:eastAsia="仿宋" w:cs="仿宋"/>
                <w:kern w:val="0"/>
                <w:sz w:val="32"/>
                <w:szCs w:val="32"/>
              </w:rPr>
              <w:t>序号</w:t>
            </w:r>
          </w:p>
        </w:tc>
        <w:tc>
          <w:tcPr>
            <w:tcW w:w="3559" w:type="dxa"/>
            <w:tcBorders>
              <w:top w:val="single" w:color="auto" w:sz="4" w:space="0"/>
              <w:left w:val="nil"/>
              <w:bottom w:val="single" w:color="auto" w:sz="4" w:space="0"/>
              <w:right w:val="single" w:color="auto" w:sz="4" w:space="0"/>
            </w:tcBorders>
            <w:noWrap/>
            <w:vAlign w:val="center"/>
          </w:tcPr>
          <w:p>
            <w:pPr>
              <w:kinsoku w:val="0"/>
              <w:wordWrap w:val="0"/>
              <w:spacing w:line="560" w:lineRule="atLeast"/>
              <w:jc w:val="center"/>
              <w:rPr>
                <w:rFonts w:ascii="仿宋" w:hAnsi="仿宋" w:eastAsia="仿宋" w:cs="仿宋"/>
                <w:kern w:val="0"/>
                <w:sz w:val="32"/>
                <w:szCs w:val="32"/>
              </w:rPr>
            </w:pPr>
            <w:r>
              <w:rPr>
                <w:rFonts w:hint="eastAsia" w:ascii="仿宋" w:hAnsi="仿宋" w:eastAsia="仿宋" w:cs="仿宋"/>
                <w:kern w:val="0"/>
                <w:sz w:val="32"/>
                <w:szCs w:val="32"/>
              </w:rPr>
              <w:t>单位名称</w:t>
            </w:r>
          </w:p>
        </w:tc>
        <w:tc>
          <w:tcPr>
            <w:tcW w:w="4112" w:type="dxa"/>
            <w:tcBorders>
              <w:top w:val="single" w:color="auto" w:sz="4" w:space="0"/>
              <w:left w:val="nil"/>
              <w:bottom w:val="single" w:color="auto" w:sz="4" w:space="0"/>
              <w:right w:val="single" w:color="auto" w:sz="4" w:space="0"/>
            </w:tcBorders>
            <w:noWrap/>
            <w:vAlign w:val="center"/>
          </w:tcPr>
          <w:p>
            <w:pPr>
              <w:kinsoku w:val="0"/>
              <w:wordWrap w:val="0"/>
              <w:spacing w:line="560" w:lineRule="atLeast"/>
              <w:jc w:val="center"/>
              <w:rPr>
                <w:rFonts w:ascii="仿宋" w:hAnsi="仿宋" w:eastAsia="仿宋" w:cs="仿宋"/>
                <w:kern w:val="0"/>
                <w:sz w:val="32"/>
                <w:szCs w:val="32"/>
              </w:rPr>
            </w:pPr>
            <w:r>
              <w:rPr>
                <w:rFonts w:hint="eastAsia" w:ascii="仿宋" w:hAnsi="仿宋" w:eastAsia="仿宋" w:cs="仿宋"/>
                <w:kern w:val="0"/>
                <w:sz w:val="32"/>
                <w:szCs w:val="32"/>
              </w:rPr>
              <w:t>单位性质</w:t>
            </w:r>
          </w:p>
        </w:tc>
      </w:tr>
      <w:tr>
        <w:trPr>
          <w:trHeight w:val="739" w:hRule="atLeast"/>
          <w:jc w:val="center"/>
        </w:trPr>
        <w:tc>
          <w:tcPr>
            <w:tcW w:w="968" w:type="dxa"/>
            <w:tcBorders>
              <w:top w:val="nil"/>
              <w:left w:val="single" w:color="auto" w:sz="4" w:space="0"/>
              <w:bottom w:val="single" w:color="auto" w:sz="4" w:space="0"/>
              <w:right w:val="single" w:color="auto" w:sz="4" w:space="0"/>
            </w:tcBorders>
            <w:noWrap/>
            <w:vAlign w:val="center"/>
          </w:tcPr>
          <w:p>
            <w:pPr>
              <w:kinsoku w:val="0"/>
              <w:wordWrap w:val="0"/>
              <w:spacing w:line="560" w:lineRule="atLeast"/>
              <w:jc w:val="center"/>
              <w:rPr>
                <w:rFonts w:ascii="仿宋" w:hAnsi="仿宋" w:eastAsia="仿宋" w:cs="仿宋"/>
                <w:kern w:val="0"/>
                <w:sz w:val="32"/>
                <w:szCs w:val="32"/>
              </w:rPr>
            </w:pPr>
            <w:r>
              <w:rPr>
                <w:rFonts w:hint="eastAsia" w:ascii="仿宋" w:hAnsi="仿宋" w:eastAsia="仿宋" w:cs="仿宋"/>
                <w:kern w:val="0"/>
                <w:sz w:val="32"/>
                <w:szCs w:val="32"/>
              </w:rPr>
              <w:t>1</w:t>
            </w:r>
          </w:p>
        </w:tc>
        <w:tc>
          <w:tcPr>
            <w:tcW w:w="3559" w:type="dxa"/>
            <w:tcBorders>
              <w:top w:val="nil"/>
              <w:left w:val="nil"/>
              <w:bottom w:val="single" w:color="auto" w:sz="4" w:space="0"/>
              <w:right w:val="single" w:color="auto" w:sz="4" w:space="0"/>
            </w:tcBorders>
            <w:noWrap/>
            <w:vAlign w:val="center"/>
          </w:tcPr>
          <w:p>
            <w:pPr>
              <w:kinsoku w:val="0"/>
              <w:wordWrap w:val="0"/>
              <w:spacing w:line="560" w:lineRule="atLeast"/>
              <w:rPr>
                <w:rFonts w:ascii="仿宋" w:hAnsi="仿宋" w:eastAsia="仿宋" w:cs="仿宋"/>
                <w:kern w:val="0"/>
                <w:sz w:val="32"/>
                <w:szCs w:val="32"/>
              </w:rPr>
            </w:pPr>
            <w:r>
              <w:rPr>
                <w:rFonts w:hint="eastAsia" w:ascii="仿宋" w:hAnsi="仿宋" w:eastAsia="仿宋" w:cs="仿宋"/>
                <w:color w:val="000000"/>
                <w:kern w:val="0"/>
                <w:sz w:val="32"/>
                <w:szCs w:val="32"/>
              </w:rPr>
              <w:t>包头市中心医院</w:t>
            </w:r>
          </w:p>
        </w:tc>
        <w:tc>
          <w:tcPr>
            <w:tcW w:w="4112" w:type="dxa"/>
            <w:tcBorders>
              <w:top w:val="nil"/>
              <w:left w:val="nil"/>
              <w:bottom w:val="single" w:color="auto" w:sz="4" w:space="0"/>
              <w:right w:val="single" w:color="auto" w:sz="4" w:space="0"/>
            </w:tcBorders>
            <w:noWrap/>
            <w:vAlign w:val="center"/>
          </w:tcPr>
          <w:p>
            <w:pPr>
              <w:kinsoku w:val="0"/>
              <w:wordWrap w:val="0"/>
              <w:spacing w:line="560" w:lineRule="atLeast"/>
              <w:rPr>
                <w:rFonts w:ascii="仿宋" w:hAnsi="仿宋" w:eastAsia="仿宋" w:cs="仿宋"/>
                <w:kern w:val="0"/>
                <w:sz w:val="32"/>
                <w:szCs w:val="32"/>
              </w:rPr>
            </w:pPr>
            <w:r>
              <w:rPr>
                <w:rFonts w:hint="eastAsia" w:ascii="仿宋" w:hAnsi="仿宋" w:eastAsia="仿宋" w:cs="仿宋"/>
                <w:kern w:val="0"/>
                <w:sz w:val="32"/>
                <w:szCs w:val="32"/>
              </w:rPr>
              <w:t>财政拨款的</w:t>
            </w:r>
            <w:r>
              <w:rPr>
                <w:rFonts w:hint="eastAsia" w:ascii="仿宋" w:hAnsi="仿宋" w:eastAsia="仿宋" w:cs="仿宋"/>
                <w:color w:val="000000"/>
                <w:kern w:val="0"/>
                <w:sz w:val="32"/>
                <w:szCs w:val="32"/>
              </w:rPr>
              <w:t>差额事业单位</w:t>
            </w:r>
          </w:p>
        </w:tc>
      </w:tr>
    </w:tbl>
    <w:p>
      <w:pPr>
        <w:kinsoku w:val="0"/>
        <w:wordWrap w:val="0"/>
        <w:spacing w:line="560" w:lineRule="atLeast"/>
        <w:ind w:firstLine="643" w:firstLineChars="200"/>
        <w:rPr>
          <w:rFonts w:ascii="黑体" w:hAnsi="黑体" w:eastAsia="黑体" w:cs="黑体"/>
          <w:b/>
          <w:bCs/>
          <w:sz w:val="32"/>
          <w:szCs w:val="32"/>
        </w:rPr>
      </w:pPr>
      <w:r>
        <w:rPr>
          <w:rFonts w:hint="eastAsia" w:ascii="黑体" w:hAnsi="黑体" w:eastAsia="黑体" w:cs="黑体"/>
          <w:b/>
          <w:bCs/>
          <w:sz w:val="32"/>
          <w:szCs w:val="32"/>
        </w:rPr>
        <w:t>三、2024年单位主要工作任务及目标</w:t>
      </w:r>
    </w:p>
    <w:p>
      <w:pPr>
        <w:kinsoku w:val="0"/>
        <w:wordWrap w:val="0"/>
        <w:spacing w:line="560" w:lineRule="atLeast"/>
        <w:ind w:firstLine="640" w:firstLineChars="200"/>
        <w:jc w:val="left"/>
        <w:rPr>
          <w:rFonts w:ascii="仿宋" w:hAnsi="仿宋" w:eastAsia="仿宋" w:cstheme="minorBidi"/>
          <w:sz w:val="32"/>
          <w:szCs w:val="32"/>
        </w:rPr>
      </w:pPr>
      <w:r>
        <w:rPr>
          <w:rFonts w:hint="eastAsia" w:ascii="仿宋" w:hAnsi="仿宋" w:eastAsia="仿宋" w:cstheme="minorBidi"/>
          <w:sz w:val="32"/>
          <w:szCs w:val="32"/>
        </w:rPr>
        <w:t>2024年包头市中心医院的工作任务及目标概括如下：</w:t>
      </w:r>
    </w:p>
    <w:p>
      <w:pPr>
        <w:kinsoku w:val="0"/>
        <w:wordWrap w:val="0"/>
        <w:spacing w:line="560" w:lineRule="atLeast"/>
        <w:ind w:firstLine="640" w:firstLineChars="200"/>
        <w:jc w:val="left"/>
        <w:rPr>
          <w:rFonts w:ascii="楷体" w:hAnsi="楷体" w:eastAsia="楷体" w:cstheme="minorBidi"/>
          <w:sz w:val="32"/>
          <w:szCs w:val="32"/>
        </w:rPr>
      </w:pPr>
      <w:r>
        <w:rPr>
          <w:rFonts w:hint="eastAsia" w:ascii="楷体" w:hAnsi="楷体" w:eastAsia="楷体" w:cstheme="minorBidi"/>
          <w:sz w:val="32"/>
          <w:szCs w:val="32"/>
        </w:rPr>
        <w:t>(一) 坚持和加强党对医院工作的全面领导</w:t>
      </w:r>
    </w:p>
    <w:p>
      <w:pPr>
        <w:kinsoku w:val="0"/>
        <w:wordWrap w:val="0"/>
        <w:spacing w:line="560" w:lineRule="atLeast"/>
        <w:ind w:firstLine="640" w:firstLineChars="200"/>
        <w:jc w:val="left"/>
        <w:rPr>
          <w:rFonts w:ascii="仿宋" w:hAnsi="仿宋" w:eastAsia="仿宋" w:cstheme="minorBidi"/>
          <w:sz w:val="32"/>
          <w:szCs w:val="32"/>
        </w:rPr>
      </w:pPr>
      <w:r>
        <w:rPr>
          <w:rFonts w:hint="eastAsia" w:ascii="仿宋" w:hAnsi="仿宋" w:eastAsia="仿宋" w:cstheme="minorBidi"/>
          <w:sz w:val="32"/>
          <w:szCs w:val="32"/>
        </w:rPr>
        <w:t>1.强化政治建设，发挥党在医院发展中的领导核心作用。</w:t>
      </w:r>
    </w:p>
    <w:p>
      <w:pPr>
        <w:kinsoku w:val="0"/>
        <w:wordWrap w:val="0"/>
        <w:spacing w:line="560" w:lineRule="atLeast"/>
        <w:ind w:firstLine="640" w:firstLineChars="200"/>
        <w:jc w:val="left"/>
        <w:rPr>
          <w:rFonts w:ascii="仿宋" w:hAnsi="仿宋" w:eastAsia="仿宋" w:cstheme="minorBidi"/>
          <w:sz w:val="32"/>
          <w:szCs w:val="32"/>
        </w:rPr>
      </w:pPr>
      <w:r>
        <w:rPr>
          <w:rFonts w:hint="eastAsia" w:ascii="仿宋" w:hAnsi="仿宋" w:eastAsia="仿宋" w:cstheme="minorBidi"/>
          <w:sz w:val="32"/>
          <w:szCs w:val="32"/>
        </w:rPr>
        <w:t>2.加强思想建设，深入学习贯彻习近平新时代中国特色社会主义思想。</w:t>
      </w:r>
    </w:p>
    <w:p>
      <w:pPr>
        <w:kinsoku w:val="0"/>
        <w:wordWrap w:val="0"/>
        <w:spacing w:line="560" w:lineRule="atLeast"/>
        <w:ind w:firstLine="640" w:firstLineChars="200"/>
        <w:jc w:val="left"/>
        <w:rPr>
          <w:rFonts w:ascii="仿宋" w:hAnsi="仿宋" w:eastAsia="仿宋" w:cstheme="minorBidi"/>
          <w:sz w:val="32"/>
          <w:szCs w:val="32"/>
        </w:rPr>
      </w:pPr>
      <w:r>
        <w:rPr>
          <w:rFonts w:hint="eastAsia" w:ascii="仿宋" w:hAnsi="仿宋" w:eastAsia="仿宋" w:cstheme="minorBidi"/>
          <w:sz w:val="32"/>
          <w:szCs w:val="32"/>
        </w:rPr>
        <w:t>3.加强组织建设，提升基层党组织战斗堡垒作用和党员先锋模范作用。</w:t>
      </w:r>
    </w:p>
    <w:p>
      <w:pPr>
        <w:kinsoku w:val="0"/>
        <w:wordWrap w:val="0"/>
        <w:spacing w:line="560" w:lineRule="atLeast"/>
        <w:ind w:firstLine="640" w:firstLineChars="200"/>
        <w:jc w:val="left"/>
        <w:rPr>
          <w:rFonts w:ascii="仿宋" w:hAnsi="仿宋" w:eastAsia="仿宋" w:cstheme="minorBidi"/>
          <w:sz w:val="32"/>
          <w:szCs w:val="32"/>
        </w:rPr>
      </w:pPr>
      <w:r>
        <w:rPr>
          <w:rFonts w:hint="eastAsia" w:ascii="仿宋" w:hAnsi="仿宋" w:eastAsia="仿宋" w:cstheme="minorBidi"/>
          <w:sz w:val="32"/>
          <w:szCs w:val="32"/>
        </w:rPr>
        <w:t>4.强化作风建设和纪律建设，全面加强党风廉政建设和反腐败工作。</w:t>
      </w:r>
    </w:p>
    <w:p>
      <w:pPr>
        <w:kinsoku w:val="0"/>
        <w:wordWrap w:val="0"/>
        <w:spacing w:line="560" w:lineRule="atLeast"/>
        <w:ind w:firstLine="640" w:firstLineChars="200"/>
        <w:jc w:val="left"/>
        <w:rPr>
          <w:rFonts w:ascii="仿宋" w:hAnsi="仿宋" w:eastAsia="仿宋" w:cstheme="minorBidi"/>
          <w:sz w:val="32"/>
          <w:szCs w:val="32"/>
        </w:rPr>
      </w:pPr>
      <w:r>
        <w:rPr>
          <w:rFonts w:hint="eastAsia" w:ascii="仿宋" w:hAnsi="仿宋" w:eastAsia="仿宋" w:cstheme="minorBidi"/>
          <w:sz w:val="32"/>
          <w:szCs w:val="32"/>
        </w:rPr>
        <w:t>5.全力保障医院安全。</w:t>
      </w:r>
    </w:p>
    <w:p>
      <w:pPr>
        <w:kinsoku w:val="0"/>
        <w:wordWrap w:val="0"/>
        <w:spacing w:line="560" w:lineRule="atLeast"/>
        <w:ind w:firstLine="640" w:firstLineChars="200"/>
        <w:jc w:val="left"/>
        <w:rPr>
          <w:rFonts w:ascii="仿宋" w:hAnsi="仿宋" w:eastAsia="仿宋" w:cstheme="minorBidi"/>
          <w:sz w:val="32"/>
          <w:szCs w:val="32"/>
        </w:rPr>
      </w:pPr>
      <w:r>
        <w:rPr>
          <w:rFonts w:hint="eastAsia" w:ascii="仿宋" w:hAnsi="仿宋" w:eastAsia="仿宋" w:cstheme="minorBidi"/>
          <w:sz w:val="32"/>
          <w:szCs w:val="32"/>
        </w:rPr>
        <w:t>6.认真做好其他工作。</w:t>
      </w:r>
    </w:p>
    <w:p>
      <w:pPr>
        <w:kinsoku w:val="0"/>
        <w:wordWrap w:val="0"/>
        <w:spacing w:line="560" w:lineRule="atLeast"/>
        <w:ind w:firstLine="640" w:firstLineChars="200"/>
        <w:jc w:val="left"/>
        <w:rPr>
          <w:rFonts w:ascii="楷体" w:hAnsi="楷体" w:eastAsia="楷体" w:cstheme="minorBidi"/>
          <w:sz w:val="32"/>
          <w:szCs w:val="32"/>
        </w:rPr>
      </w:pPr>
      <w:r>
        <w:rPr>
          <w:rFonts w:hint="eastAsia" w:ascii="楷体" w:hAnsi="楷体" w:eastAsia="楷体" w:cstheme="minorBidi"/>
          <w:sz w:val="32"/>
          <w:szCs w:val="32"/>
        </w:rPr>
        <w:t>（二）加强四个重点建设</w:t>
      </w:r>
    </w:p>
    <w:p>
      <w:pPr>
        <w:kinsoku w:val="0"/>
        <w:wordWrap w:val="0"/>
        <w:spacing w:line="560" w:lineRule="atLeast"/>
        <w:ind w:firstLine="640" w:firstLineChars="200"/>
        <w:jc w:val="left"/>
        <w:rPr>
          <w:rFonts w:ascii="仿宋" w:hAnsi="仿宋" w:eastAsia="仿宋" w:cstheme="minorBidi"/>
          <w:sz w:val="32"/>
          <w:szCs w:val="32"/>
        </w:rPr>
      </w:pPr>
      <w:r>
        <w:rPr>
          <w:rFonts w:hint="eastAsia" w:ascii="仿宋" w:hAnsi="仿宋" w:eastAsia="仿宋" w:cstheme="minorBidi"/>
          <w:sz w:val="32"/>
          <w:szCs w:val="32"/>
        </w:rPr>
        <w:t>1.建设高水平医疗服务体系。</w:t>
      </w:r>
    </w:p>
    <w:p>
      <w:pPr>
        <w:kinsoku w:val="0"/>
        <w:wordWrap w:val="0"/>
        <w:spacing w:line="560" w:lineRule="atLeast"/>
        <w:ind w:firstLine="640" w:firstLineChars="200"/>
        <w:jc w:val="left"/>
        <w:rPr>
          <w:rFonts w:ascii="仿宋" w:hAnsi="仿宋" w:eastAsia="仿宋" w:cstheme="minorBidi"/>
          <w:sz w:val="32"/>
          <w:szCs w:val="32"/>
        </w:rPr>
      </w:pPr>
      <w:r>
        <w:rPr>
          <w:rFonts w:hint="eastAsia" w:ascii="仿宋" w:hAnsi="仿宋" w:eastAsia="仿宋" w:cstheme="minorBidi"/>
          <w:sz w:val="32"/>
          <w:szCs w:val="32"/>
        </w:rPr>
        <w:t>2.打造临床重点专科群。</w:t>
      </w:r>
    </w:p>
    <w:p>
      <w:pPr>
        <w:kinsoku w:val="0"/>
        <w:wordWrap w:val="0"/>
        <w:spacing w:line="560" w:lineRule="atLeast"/>
        <w:ind w:firstLine="640" w:firstLineChars="200"/>
        <w:jc w:val="left"/>
        <w:rPr>
          <w:rFonts w:ascii="仿宋" w:hAnsi="仿宋" w:eastAsia="仿宋" w:cstheme="minorBidi"/>
          <w:sz w:val="32"/>
          <w:szCs w:val="32"/>
        </w:rPr>
      </w:pPr>
      <w:r>
        <w:rPr>
          <w:rFonts w:hint="eastAsia" w:ascii="仿宋" w:hAnsi="仿宋" w:eastAsia="仿宋" w:cstheme="minorBidi"/>
          <w:sz w:val="32"/>
          <w:szCs w:val="32"/>
        </w:rPr>
        <w:t>3.培养高质量人才队伍。</w:t>
      </w:r>
    </w:p>
    <w:p>
      <w:pPr>
        <w:kinsoku w:val="0"/>
        <w:wordWrap w:val="0"/>
        <w:spacing w:line="560" w:lineRule="atLeast"/>
        <w:ind w:firstLine="640" w:firstLineChars="200"/>
        <w:jc w:val="left"/>
        <w:rPr>
          <w:rFonts w:ascii="仿宋" w:hAnsi="仿宋" w:eastAsia="仿宋" w:cstheme="minorBidi"/>
          <w:sz w:val="32"/>
          <w:szCs w:val="32"/>
        </w:rPr>
      </w:pPr>
      <w:r>
        <w:rPr>
          <w:rFonts w:hint="eastAsia" w:ascii="仿宋" w:hAnsi="仿宋" w:eastAsia="仿宋" w:cstheme="minorBidi"/>
          <w:sz w:val="32"/>
          <w:szCs w:val="32"/>
        </w:rPr>
        <w:t>4.推进智慧医院建设。</w:t>
      </w:r>
    </w:p>
    <w:p>
      <w:pPr>
        <w:kinsoku w:val="0"/>
        <w:wordWrap w:val="0"/>
        <w:spacing w:line="560" w:lineRule="atLeast"/>
        <w:ind w:firstLine="640" w:firstLineChars="200"/>
        <w:jc w:val="left"/>
        <w:rPr>
          <w:rFonts w:ascii="楷体" w:hAnsi="楷体" w:eastAsia="楷体" w:cstheme="minorBidi"/>
          <w:sz w:val="32"/>
          <w:szCs w:val="32"/>
        </w:rPr>
      </w:pPr>
      <w:r>
        <w:rPr>
          <w:rFonts w:hint="eastAsia" w:ascii="楷体" w:hAnsi="楷体" w:eastAsia="楷体" w:cstheme="minorBidi"/>
          <w:sz w:val="32"/>
          <w:szCs w:val="32"/>
        </w:rPr>
        <w:t>（三）推进五个能力提升</w:t>
      </w:r>
    </w:p>
    <w:p>
      <w:pPr>
        <w:kinsoku w:val="0"/>
        <w:wordWrap w:val="0"/>
        <w:spacing w:line="560" w:lineRule="atLeast"/>
        <w:ind w:firstLine="640" w:firstLineChars="200"/>
        <w:jc w:val="left"/>
        <w:rPr>
          <w:rFonts w:ascii="仿宋" w:hAnsi="仿宋" w:eastAsia="仿宋" w:cstheme="minorBidi"/>
          <w:sz w:val="32"/>
          <w:szCs w:val="32"/>
        </w:rPr>
      </w:pPr>
      <w:r>
        <w:rPr>
          <w:rFonts w:hint="eastAsia" w:ascii="仿宋" w:hAnsi="仿宋" w:eastAsia="仿宋" w:cstheme="minorBidi"/>
          <w:sz w:val="32"/>
          <w:szCs w:val="32"/>
        </w:rPr>
        <w:t>1.党建能力提升。</w:t>
      </w:r>
    </w:p>
    <w:p>
      <w:pPr>
        <w:kinsoku w:val="0"/>
        <w:wordWrap w:val="0"/>
        <w:spacing w:line="560" w:lineRule="atLeast"/>
        <w:ind w:firstLine="640" w:firstLineChars="200"/>
        <w:jc w:val="left"/>
        <w:rPr>
          <w:rFonts w:ascii="仿宋" w:hAnsi="仿宋" w:eastAsia="仿宋" w:cstheme="minorBidi"/>
          <w:sz w:val="32"/>
          <w:szCs w:val="32"/>
        </w:rPr>
      </w:pPr>
      <w:r>
        <w:rPr>
          <w:rFonts w:hint="eastAsia" w:ascii="仿宋" w:hAnsi="仿宋" w:eastAsia="仿宋" w:cstheme="minorBidi"/>
          <w:sz w:val="32"/>
          <w:szCs w:val="32"/>
        </w:rPr>
        <w:t>2.外科能力提升。</w:t>
      </w:r>
    </w:p>
    <w:p>
      <w:pPr>
        <w:kinsoku w:val="0"/>
        <w:wordWrap w:val="0"/>
        <w:spacing w:line="560" w:lineRule="atLeast"/>
        <w:ind w:firstLine="640" w:firstLineChars="200"/>
        <w:jc w:val="left"/>
        <w:rPr>
          <w:rFonts w:ascii="仿宋" w:hAnsi="仿宋" w:eastAsia="仿宋" w:cstheme="minorBidi"/>
          <w:sz w:val="32"/>
          <w:szCs w:val="32"/>
        </w:rPr>
      </w:pPr>
      <w:r>
        <w:rPr>
          <w:rFonts w:hint="eastAsia" w:ascii="仿宋" w:hAnsi="仿宋" w:eastAsia="仿宋" w:cstheme="minorBidi"/>
          <w:sz w:val="32"/>
          <w:szCs w:val="32"/>
        </w:rPr>
        <w:t>3.改善医疗服务，患者体验提升。</w:t>
      </w:r>
    </w:p>
    <w:p>
      <w:pPr>
        <w:kinsoku w:val="0"/>
        <w:wordWrap w:val="0"/>
        <w:spacing w:line="560" w:lineRule="atLeast"/>
        <w:ind w:firstLine="640" w:firstLineChars="200"/>
        <w:jc w:val="left"/>
        <w:rPr>
          <w:rFonts w:ascii="仿宋" w:hAnsi="仿宋" w:eastAsia="仿宋" w:cstheme="minorBidi"/>
          <w:sz w:val="32"/>
          <w:szCs w:val="32"/>
        </w:rPr>
      </w:pPr>
      <w:r>
        <w:rPr>
          <w:rFonts w:hint="eastAsia" w:ascii="仿宋" w:hAnsi="仿宋" w:eastAsia="仿宋" w:cstheme="minorBidi"/>
          <w:sz w:val="32"/>
          <w:szCs w:val="32"/>
        </w:rPr>
        <w:t>4.文化建设提升。</w:t>
      </w:r>
    </w:p>
    <w:p>
      <w:pPr>
        <w:kinsoku w:val="0"/>
        <w:wordWrap w:val="0"/>
        <w:spacing w:line="560" w:lineRule="atLeast"/>
        <w:ind w:firstLine="640" w:firstLineChars="200"/>
        <w:jc w:val="left"/>
        <w:rPr>
          <w:rFonts w:ascii="仿宋" w:hAnsi="仿宋" w:eastAsia="仿宋" w:cstheme="minorBidi"/>
          <w:sz w:val="32"/>
          <w:szCs w:val="32"/>
        </w:rPr>
      </w:pPr>
      <w:r>
        <w:rPr>
          <w:rFonts w:hint="eastAsia" w:ascii="仿宋" w:hAnsi="仿宋" w:eastAsia="仿宋" w:cstheme="minorBidi"/>
          <w:sz w:val="32"/>
          <w:szCs w:val="32"/>
        </w:rPr>
        <w:t>5.医院管理提升。</w:t>
      </w:r>
    </w:p>
    <w:p>
      <w:pPr>
        <w:kinsoku w:val="0"/>
        <w:wordWrap w:val="0"/>
        <w:spacing w:line="560" w:lineRule="atLeast"/>
        <w:ind w:firstLine="640" w:firstLineChars="200"/>
        <w:jc w:val="left"/>
        <w:rPr>
          <w:rFonts w:ascii="楷体" w:hAnsi="楷体" w:eastAsia="楷体" w:cstheme="minorBidi"/>
          <w:sz w:val="32"/>
          <w:szCs w:val="32"/>
        </w:rPr>
      </w:pPr>
      <w:r>
        <w:rPr>
          <w:rFonts w:hint="eastAsia" w:ascii="楷体" w:hAnsi="楷体" w:eastAsia="楷体" w:cstheme="minorBidi"/>
          <w:sz w:val="32"/>
          <w:szCs w:val="32"/>
        </w:rPr>
        <w:t>（四）夯实六项任务落实</w:t>
      </w:r>
    </w:p>
    <w:p>
      <w:pPr>
        <w:kinsoku w:val="0"/>
        <w:wordWrap w:val="0"/>
        <w:spacing w:line="560" w:lineRule="atLeast"/>
        <w:ind w:firstLine="640" w:firstLineChars="200"/>
        <w:jc w:val="left"/>
        <w:rPr>
          <w:rFonts w:ascii="仿宋" w:hAnsi="仿宋" w:eastAsia="仿宋" w:cstheme="minorBidi"/>
          <w:sz w:val="32"/>
          <w:szCs w:val="32"/>
        </w:rPr>
      </w:pPr>
      <w:r>
        <w:rPr>
          <w:rFonts w:hint="eastAsia" w:ascii="仿宋" w:hAnsi="仿宋" w:eastAsia="仿宋" w:cstheme="minorBidi"/>
          <w:sz w:val="32"/>
          <w:szCs w:val="32"/>
        </w:rPr>
        <w:t>1.强化质量与安全监管，提升医疗质量。</w:t>
      </w:r>
    </w:p>
    <w:p>
      <w:pPr>
        <w:kinsoku w:val="0"/>
        <w:wordWrap w:val="0"/>
        <w:spacing w:line="560" w:lineRule="atLeast"/>
        <w:ind w:firstLine="640" w:firstLineChars="200"/>
        <w:jc w:val="left"/>
        <w:rPr>
          <w:rFonts w:ascii="仿宋" w:hAnsi="仿宋" w:eastAsia="仿宋" w:cstheme="minorBidi"/>
          <w:sz w:val="32"/>
          <w:szCs w:val="32"/>
        </w:rPr>
      </w:pPr>
      <w:r>
        <w:rPr>
          <w:rFonts w:hint="eastAsia" w:ascii="仿宋" w:hAnsi="仿宋" w:eastAsia="仿宋" w:cstheme="minorBidi"/>
          <w:sz w:val="32"/>
          <w:szCs w:val="32"/>
        </w:rPr>
        <w:t>2.加强突发公共卫生事件应急处置能力建设，提高治理和应对能力。</w:t>
      </w:r>
    </w:p>
    <w:p>
      <w:pPr>
        <w:kinsoku w:val="0"/>
        <w:wordWrap w:val="0"/>
        <w:spacing w:line="560" w:lineRule="atLeast"/>
        <w:ind w:firstLine="640" w:firstLineChars="200"/>
        <w:jc w:val="left"/>
        <w:rPr>
          <w:rFonts w:ascii="仿宋" w:hAnsi="仿宋" w:eastAsia="仿宋" w:cstheme="minorBidi"/>
          <w:sz w:val="32"/>
          <w:szCs w:val="32"/>
        </w:rPr>
      </w:pPr>
      <w:r>
        <w:rPr>
          <w:rFonts w:hint="eastAsia" w:ascii="仿宋" w:hAnsi="仿宋" w:eastAsia="仿宋" w:cstheme="minorBidi"/>
          <w:sz w:val="32"/>
          <w:szCs w:val="32"/>
        </w:rPr>
        <w:t>3.继续深入推进现代医院管理两级试点工作。</w:t>
      </w:r>
    </w:p>
    <w:p>
      <w:pPr>
        <w:kinsoku w:val="0"/>
        <w:wordWrap w:val="0"/>
        <w:spacing w:line="560" w:lineRule="atLeast"/>
        <w:ind w:firstLine="640" w:firstLineChars="200"/>
        <w:jc w:val="left"/>
        <w:rPr>
          <w:rFonts w:ascii="仿宋" w:hAnsi="仿宋" w:eastAsia="仿宋" w:cstheme="minorBidi"/>
          <w:sz w:val="32"/>
          <w:szCs w:val="32"/>
        </w:rPr>
      </w:pPr>
      <w:r>
        <w:rPr>
          <w:rFonts w:hint="eastAsia" w:ascii="仿宋" w:hAnsi="仿宋" w:eastAsia="仿宋" w:cstheme="minorBidi"/>
          <w:sz w:val="32"/>
          <w:szCs w:val="32"/>
        </w:rPr>
        <w:t>4.强化教学科研能力，推进创新和成果转化。</w:t>
      </w:r>
    </w:p>
    <w:p>
      <w:pPr>
        <w:kinsoku w:val="0"/>
        <w:wordWrap w:val="0"/>
        <w:spacing w:line="560" w:lineRule="atLeast"/>
        <w:ind w:firstLine="640" w:firstLineChars="200"/>
        <w:jc w:val="left"/>
        <w:rPr>
          <w:rFonts w:ascii="仿宋" w:hAnsi="仿宋" w:eastAsia="仿宋" w:cstheme="minorBidi"/>
          <w:sz w:val="32"/>
          <w:szCs w:val="32"/>
        </w:rPr>
      </w:pPr>
      <w:r>
        <w:rPr>
          <w:rFonts w:hint="eastAsia" w:ascii="仿宋" w:hAnsi="仿宋" w:eastAsia="仿宋" w:cstheme="minorBidi"/>
          <w:sz w:val="32"/>
          <w:szCs w:val="32"/>
        </w:rPr>
        <w:t>5.多措并举加强运营管理，提质增效稳中求进。</w:t>
      </w:r>
    </w:p>
    <w:p>
      <w:pPr>
        <w:kinsoku w:val="0"/>
        <w:wordWrap w:val="0"/>
        <w:spacing w:line="560" w:lineRule="atLeast"/>
        <w:ind w:firstLine="640" w:firstLineChars="200"/>
        <w:jc w:val="left"/>
        <w:rPr>
          <w:rFonts w:ascii="仿宋" w:hAnsi="仿宋" w:eastAsia="仿宋" w:cstheme="minorBidi"/>
          <w:sz w:val="32"/>
          <w:szCs w:val="32"/>
        </w:rPr>
      </w:pPr>
      <w:r>
        <w:rPr>
          <w:rFonts w:hint="eastAsia" w:ascii="仿宋" w:hAnsi="仿宋" w:eastAsia="仿宋" w:cstheme="minorBidi"/>
          <w:sz w:val="32"/>
          <w:szCs w:val="32"/>
        </w:rPr>
        <w:t>凡益之道，与时偕行做好2024年的工作，意义十分重大、责任也十分重大。全院广大党员干部群众要进一步增强紧迫感、责任感、使命感，始终保持争创一流的志气、品扬奋进的士气、攻坚克难的勇气、开拓进取的锐气，“致广大而尽细微”，坚持人民至上、生命至上，在常态化执行疫情防控的基础上，着力加大人才科研投入，打造区域性医疗资源高地，争取为广大群众提供更优质高效便利的卫生健康服务，为建设健康、幸福包头而贡献力量。</w:t>
      </w:r>
    </w:p>
    <w:p>
      <w:pPr>
        <w:pStyle w:val="5"/>
      </w:pPr>
      <w:r>
        <w:rPr>
          <w:rFonts w:hint="eastAsia"/>
        </w:rPr>
        <w:t>第二部分 2024年度单位预算情况说明</w:t>
      </w:r>
    </w:p>
    <w:p>
      <w:pPr>
        <w:kinsoku w:val="0"/>
        <w:wordWrap w:val="0"/>
        <w:spacing w:line="560" w:lineRule="atLeast"/>
        <w:ind w:firstLine="643" w:firstLineChars="200"/>
        <w:outlineLvl w:val="0"/>
        <w:rPr>
          <w:rFonts w:ascii="黑体" w:hAnsi="黑体" w:eastAsia="黑体" w:cs="黑体"/>
          <w:b/>
          <w:bCs/>
          <w:sz w:val="32"/>
          <w:szCs w:val="32"/>
        </w:rPr>
      </w:pPr>
      <w:r>
        <w:rPr>
          <w:rFonts w:hint="eastAsia" w:ascii="黑体" w:hAnsi="黑体" w:eastAsia="黑体" w:cs="黑体"/>
          <w:b/>
          <w:bCs/>
          <w:sz w:val="32"/>
          <w:szCs w:val="32"/>
        </w:rPr>
        <w:t>一、收支预算总体情况说明</w:t>
      </w:r>
    </w:p>
    <w:p>
      <w:pPr>
        <w:pStyle w:val="7"/>
        <w:rPr>
          <w:rFonts w:cs="仿宋"/>
        </w:rPr>
      </w:pPr>
      <w:r>
        <w:rPr>
          <w:rFonts w:hint="eastAsia"/>
        </w:rPr>
        <w:t>包头市中心医院2024年度收入、支出预算总计142377.36万元，与上年相比收、支预算总计各增加123397.77万元，增加650.16%。其中：</w:t>
      </w:r>
    </w:p>
    <w:p>
      <w:pPr>
        <w:pStyle w:val="7"/>
      </w:pPr>
      <w:r>
        <w:rPr>
          <w:rFonts w:hint="eastAsia"/>
        </w:rPr>
        <w:t>（一）收入预算总计142377.36万元。包括：</w:t>
      </w:r>
    </w:p>
    <w:p>
      <w:pPr>
        <w:pStyle w:val="7"/>
      </w:pPr>
      <w:r>
        <w:rPr>
          <w:rFonts w:hint="eastAsia"/>
        </w:rPr>
        <w:t>1．本年收入合计142377.36万元。</w:t>
      </w:r>
    </w:p>
    <w:p>
      <w:pPr>
        <w:pStyle w:val="7"/>
      </w:pPr>
      <w:r>
        <w:rPr>
          <w:rFonts w:hint="eastAsia"/>
        </w:rPr>
        <w:t>（1）一般公共预算拨款收入12349.16万元，与上年相比增加969.56万元，增</w:t>
      </w:r>
      <w:r>
        <w:rPr>
          <w:rFonts w:hint="eastAsia" w:cs="仿宋"/>
        </w:rPr>
        <w:t>长</w:t>
      </w:r>
      <w:r>
        <w:rPr>
          <w:rFonts w:hint="eastAsia"/>
        </w:rPr>
        <w:t>8.52%。主要原因一是工资调整，增加了艰苦边远地区津贴；二是在编人员增加。</w:t>
      </w:r>
    </w:p>
    <w:p>
      <w:pPr>
        <w:pStyle w:val="7"/>
      </w:pPr>
      <w:r>
        <w:rPr>
          <w:rFonts w:hint="eastAsia"/>
        </w:rPr>
        <w:t>（2）政府性基金预算拨款收入0万元，与上年相比增加0万元，增长0%。主要原因是不存在此项内容。</w:t>
      </w:r>
    </w:p>
    <w:p>
      <w:pPr>
        <w:pStyle w:val="7"/>
      </w:pPr>
      <w:r>
        <w:rPr>
          <w:rFonts w:hint="eastAsia"/>
        </w:rPr>
        <w:t>（3）国有资本经营预算拨款收入0万元，与上年相比增加0万元，增长0%。主要原因是不存在此项内容。</w:t>
      </w:r>
    </w:p>
    <w:p>
      <w:pPr>
        <w:pStyle w:val="7"/>
      </w:pPr>
      <w:r>
        <w:rPr>
          <w:rFonts w:hint="eastAsia"/>
        </w:rPr>
        <w:t>（4）财政专户管理资金收入0万元，与上年相比增加0万元，增长0%。主要原因是不存在此项内容。</w:t>
      </w:r>
    </w:p>
    <w:p>
      <w:pPr>
        <w:pStyle w:val="7"/>
      </w:pPr>
      <w:r>
        <w:rPr>
          <w:rFonts w:hint="eastAsia"/>
        </w:rPr>
        <w:t>（5）事业收入128222.79万元，与上年相比增加122398.07万元，增</w:t>
      </w:r>
      <w:r>
        <w:rPr>
          <w:rFonts w:hint="eastAsia" w:cs="仿宋"/>
        </w:rPr>
        <w:t>长</w:t>
      </w:r>
      <w:r>
        <w:rPr>
          <w:rFonts w:hint="eastAsia"/>
        </w:rPr>
        <w:t>2101.36%。主要原因是医疗收入增加。</w:t>
      </w:r>
    </w:p>
    <w:p>
      <w:pPr>
        <w:pStyle w:val="7"/>
      </w:pPr>
      <w:r>
        <w:rPr>
          <w:rFonts w:hint="eastAsia"/>
        </w:rPr>
        <w:t>（6）事业单位经营收入0万元，与上年相比增加0万元，增长0%。主要原因是不存在此项内容。</w:t>
      </w:r>
    </w:p>
    <w:p>
      <w:pPr>
        <w:pStyle w:val="7"/>
      </w:pPr>
      <w:r>
        <w:rPr>
          <w:rFonts w:hint="eastAsia"/>
        </w:rPr>
        <w:t>（7）上级补助收入0万元，与上年相比增加0万元，增长0%。主要原因是不存在此项内容。</w:t>
      </w:r>
    </w:p>
    <w:p>
      <w:pPr>
        <w:pStyle w:val="7"/>
      </w:pPr>
      <w:r>
        <w:rPr>
          <w:rFonts w:hint="eastAsia"/>
        </w:rPr>
        <w:t>（8）附属单位上缴收入0万元，与上年相比增加0万元，增长0%。主要原因是不存在此项内容。</w:t>
      </w:r>
    </w:p>
    <w:p>
      <w:pPr>
        <w:pStyle w:val="7"/>
      </w:pPr>
      <w:r>
        <w:rPr>
          <w:rFonts w:hint="eastAsia"/>
        </w:rPr>
        <w:t>（9）其他收入1500万元，与上年相比增加1500万元，增长100%。主要原因是利息收入、供应室消毒材料收入增加。</w:t>
      </w:r>
    </w:p>
    <w:p>
      <w:pPr>
        <w:pStyle w:val="7"/>
        <w:rPr>
          <w:rFonts w:cs="仿宋"/>
        </w:rPr>
      </w:pPr>
      <w:r>
        <w:rPr>
          <w:rFonts w:hint="eastAsia"/>
        </w:rPr>
        <w:t>2．上年结转结余为305.41万元，与上年相比减少1469.86万元，减少82.80%。主要原因是支付方舱医院改造及运行费用、发放一线医务人员临时工作补助及奖励性绩效。</w:t>
      </w:r>
    </w:p>
    <w:p>
      <w:pPr>
        <w:pStyle w:val="7"/>
      </w:pPr>
      <w:r>
        <w:rPr>
          <w:rFonts w:hint="eastAsia"/>
        </w:rPr>
        <w:t>（二）支出预算总计</w:t>
      </w:r>
      <w:r>
        <w:rPr>
          <w:rFonts w:hint="eastAsia" w:cs="仿宋"/>
        </w:rPr>
        <w:t>142377.36</w:t>
      </w:r>
      <w:r>
        <w:rPr>
          <w:rFonts w:hint="eastAsia"/>
        </w:rPr>
        <w:t>元。包括：</w:t>
      </w:r>
    </w:p>
    <w:p>
      <w:pPr>
        <w:pStyle w:val="7"/>
      </w:pPr>
      <w:r>
        <w:rPr>
          <w:rFonts w:hint="eastAsia"/>
        </w:rPr>
        <w:t>1．本年支出合计142377.36万元。</w:t>
      </w:r>
    </w:p>
    <w:p>
      <w:pPr>
        <w:pStyle w:val="7"/>
      </w:pPr>
      <w:r>
        <w:rPr>
          <w:rFonts w:hint="eastAsia"/>
        </w:rPr>
        <w:t>（1）科学技术支出179.81万元，主要用于医院科研项目支出。与上年相比增加179.81万元，增长100%。</w:t>
      </w:r>
      <w:r>
        <w:rPr>
          <w:rFonts w:hint="eastAsia" w:cstheme="minorBidi"/>
        </w:rPr>
        <w:t>主要原因是</w:t>
      </w:r>
      <w:r>
        <w:rPr>
          <w:rFonts w:hint="eastAsia"/>
        </w:rPr>
        <w:t>上年无财政拨款。</w:t>
      </w:r>
    </w:p>
    <w:p>
      <w:pPr>
        <w:pStyle w:val="7"/>
      </w:pPr>
      <w:r>
        <w:rPr>
          <w:rFonts w:hint="eastAsia"/>
        </w:rPr>
        <w:t>（2）社会保障和就业支出3093.17万元，主要用于职工社保缴费。与上年相比增加267.64万元，增长9.47%。</w:t>
      </w:r>
      <w:r>
        <w:rPr>
          <w:rFonts w:hint="eastAsia" w:cstheme="minorBidi"/>
        </w:rPr>
        <w:t>主要原因一是工资调整，增加了艰苦边远地区津贴；二是在编人员增加</w:t>
      </w:r>
      <w:r>
        <w:rPr>
          <w:rFonts w:hint="eastAsia"/>
        </w:rPr>
        <w:t>。</w:t>
      </w:r>
    </w:p>
    <w:p>
      <w:pPr>
        <w:pStyle w:val="7"/>
      </w:pPr>
      <w:r>
        <w:rPr>
          <w:rFonts w:hint="eastAsia"/>
        </w:rPr>
        <w:t>（3）卫生健康支出137888.91万元，主要用于职工工资性支出、商品服务支出及对个人和家庭补助支出。与上年相比增加122915.39万元，增长820.89%。主要原因一是本年工资调整及在编人员增加；二是增加了上年财政拨款结转结余。</w:t>
      </w:r>
    </w:p>
    <w:p>
      <w:pPr>
        <w:pStyle w:val="7"/>
      </w:pPr>
      <w:r>
        <w:rPr>
          <w:rFonts w:hint="eastAsia"/>
        </w:rPr>
        <w:t>（4）住房保障支出1215.46万元，主要用于人员住房公积金的缴纳。与上年相比增加34.92万元，增长2.96%。主要原因是本年工资调整及在编人员增加。</w:t>
      </w:r>
    </w:p>
    <w:p>
      <w:pPr>
        <w:pStyle w:val="7"/>
      </w:pPr>
      <w:r>
        <w:rPr>
          <w:rFonts w:hint="eastAsia"/>
        </w:rPr>
        <w:t>2．年终结转结余0万元，主要原因是年终无结转结余。</w:t>
      </w:r>
    </w:p>
    <w:p>
      <w:pPr>
        <w:kinsoku w:val="0"/>
        <w:wordWrap w:val="0"/>
        <w:spacing w:line="560" w:lineRule="atLeast"/>
        <w:ind w:firstLine="643" w:firstLineChars="200"/>
        <w:outlineLvl w:val="0"/>
        <w:rPr>
          <w:rFonts w:ascii="黑体" w:hAnsi="黑体" w:eastAsia="黑体" w:cs="黑体"/>
          <w:b/>
          <w:bCs/>
          <w:sz w:val="32"/>
          <w:szCs w:val="32"/>
        </w:rPr>
      </w:pPr>
      <w:r>
        <w:rPr>
          <w:rFonts w:hint="eastAsia" w:ascii="黑体" w:hAnsi="黑体" w:eastAsia="黑体" w:cs="黑体"/>
          <w:b/>
          <w:bCs/>
          <w:sz w:val="32"/>
          <w:szCs w:val="32"/>
        </w:rPr>
        <w:t>二、收入预算情况说明</w:t>
      </w:r>
    </w:p>
    <w:p>
      <w:pPr>
        <w:pStyle w:val="7"/>
      </w:pPr>
      <w:r>
        <w:rPr>
          <w:rFonts w:hint="eastAsia"/>
        </w:rPr>
        <w:t>包头市中心医院2024年收入总预算合计142377.36万元，包括本年收入142071.95万元，上年结转结余305.41万元。</w:t>
      </w:r>
    </w:p>
    <w:p>
      <w:pPr>
        <w:pStyle w:val="7"/>
      </w:pPr>
      <w:r>
        <w:rPr>
          <w:rFonts w:hint="eastAsia"/>
        </w:rPr>
        <w:t>其中：</w:t>
      </w:r>
    </w:p>
    <w:p>
      <w:pPr>
        <w:pStyle w:val="7"/>
      </w:pPr>
      <w:r>
        <w:rPr>
          <w:rFonts w:hint="eastAsia"/>
        </w:rPr>
        <w:t>本年一般公共预算拨款数为12349.16万元，占8.67%；</w:t>
      </w:r>
    </w:p>
    <w:p>
      <w:pPr>
        <w:pStyle w:val="7"/>
      </w:pPr>
      <w:r>
        <w:rPr>
          <w:rFonts w:hint="eastAsia"/>
        </w:rPr>
        <w:t>本年政府性基金预算收入为0万元，占0%；</w:t>
      </w:r>
    </w:p>
    <w:p>
      <w:pPr>
        <w:pStyle w:val="7"/>
      </w:pPr>
      <w:r>
        <w:rPr>
          <w:rFonts w:hint="eastAsia"/>
        </w:rPr>
        <w:t>本年国有资本经营预算收入0万元，占0%；</w:t>
      </w:r>
    </w:p>
    <w:p>
      <w:pPr>
        <w:pStyle w:val="7"/>
      </w:pPr>
      <w:r>
        <w:rPr>
          <w:rFonts w:hint="eastAsia"/>
        </w:rPr>
        <w:t>本年财政专户管理资金0万元，占0%；</w:t>
      </w:r>
    </w:p>
    <w:p>
      <w:pPr>
        <w:pStyle w:val="7"/>
      </w:pPr>
      <w:r>
        <w:rPr>
          <w:rFonts w:hint="eastAsia"/>
        </w:rPr>
        <w:t>本年事业收入</w:t>
      </w:r>
      <w:r>
        <w:rPr>
          <w:rFonts w:hint="eastAsia"/>
          <w:bCs/>
          <w:color w:val="000000" w:themeColor="text1"/>
        </w:rPr>
        <w:t>128222.79</w:t>
      </w:r>
      <w:r>
        <w:rPr>
          <w:rFonts w:hint="eastAsia"/>
        </w:rPr>
        <w:t>万元，占90.06%；</w:t>
      </w:r>
    </w:p>
    <w:p>
      <w:pPr>
        <w:pStyle w:val="7"/>
      </w:pPr>
      <w:r>
        <w:rPr>
          <w:rFonts w:hint="eastAsia"/>
        </w:rPr>
        <w:t>本年事业单位经营收入0万元，占0%；</w:t>
      </w:r>
    </w:p>
    <w:p>
      <w:pPr>
        <w:pStyle w:val="7"/>
      </w:pPr>
      <w:r>
        <w:rPr>
          <w:rFonts w:hint="eastAsia"/>
        </w:rPr>
        <w:t>本年上级补助收入0万元，占0%；</w:t>
      </w:r>
    </w:p>
    <w:p>
      <w:pPr>
        <w:pStyle w:val="7"/>
      </w:pPr>
      <w:r>
        <w:rPr>
          <w:rFonts w:hint="eastAsia"/>
        </w:rPr>
        <w:t>本年附属单位上缴收入0万元，占0%；</w:t>
      </w:r>
    </w:p>
    <w:p>
      <w:pPr>
        <w:pStyle w:val="7"/>
      </w:pPr>
      <w:r>
        <w:rPr>
          <w:rFonts w:hint="eastAsia"/>
        </w:rPr>
        <w:t>本年其他收入1500万元，占1.05%；</w:t>
      </w:r>
    </w:p>
    <w:p>
      <w:pPr>
        <w:pStyle w:val="7"/>
      </w:pPr>
      <w:r>
        <w:rPr>
          <w:rFonts w:hint="eastAsia"/>
        </w:rPr>
        <w:t>上年结转结余的一般公共预算收入305.41万元，占0.22%；</w:t>
      </w:r>
    </w:p>
    <w:p>
      <w:pPr>
        <w:pStyle w:val="7"/>
      </w:pPr>
      <w:r>
        <w:rPr>
          <w:rFonts w:hint="eastAsia"/>
        </w:rPr>
        <w:t>上年结转结余的政府性基金预算收入0万元，占0%；</w:t>
      </w:r>
    </w:p>
    <w:p>
      <w:pPr>
        <w:pStyle w:val="7"/>
      </w:pPr>
      <w:r>
        <w:rPr>
          <w:rFonts w:hint="eastAsia"/>
        </w:rPr>
        <w:t>上年结转结余的国有资本经营预算收入0万元，占0%；</w:t>
      </w:r>
    </w:p>
    <w:p>
      <w:pPr>
        <w:pStyle w:val="7"/>
      </w:pPr>
      <w:r>
        <w:rPr>
          <w:rFonts w:hint="eastAsia"/>
        </w:rPr>
        <w:t>上年结转结余的财政专户管理资金0万元，占0%；</w:t>
      </w:r>
    </w:p>
    <w:p>
      <w:pPr>
        <w:pStyle w:val="7"/>
      </w:pPr>
      <w:r>
        <w:rPr>
          <w:rFonts w:hint="eastAsia"/>
        </w:rPr>
        <w:t>上年结转结余的单位资金0万元，占0%。</w:t>
      </w:r>
    </w:p>
    <w:p>
      <w:pPr>
        <w:pStyle w:val="7"/>
      </w:pPr>
    </w:p>
    <w:p>
      <w:pPr>
        <w:pStyle w:val="7"/>
        <w:rPr>
          <w:rFonts w:cs="仿宋"/>
        </w:rPr>
      </w:pPr>
      <w:r>
        <w:pict>
          <v:shape id="文本框 4" o:spid="_x0000_s1026" o:spt="202" type="#_x0000_t202" style="position:absolute;left:0pt;margin-left:32.25pt;margin-top:2.25pt;height:46.5pt;width:415.5pt;z-index:-251654144;mso-width-relative:page;mso-height-relative:margin;"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">
            <v:path/>
            <v:fill focussize="0,0"/>
            <v:stroke on="f" joinstyle="miter"/>
            <v:imagedata o:title=""/>
            <o:lock v:ext="edit"/>
            <v:textbox inset="0mm,0mm,0mm,0mm">
              <w:txbxContent>
                <w:p>
                  <w:pPr>
                    <w:pStyle w:val="6"/>
                    <w:jc w:val="center"/>
                    <w:rPr>
                      <w:rFonts w:ascii="黑体" w:hAnsi="黑体"/>
                      <w:sz w:val="30"/>
                      <w:szCs w:val="30"/>
                    </w:rPr>
                  </w:pPr>
                  <w:r>
                    <w:rPr>
                      <w:rFonts w:hint="eastAsia" w:ascii="黑体" w:hAnsi="黑体"/>
                      <w:sz w:val="30"/>
                      <w:szCs w:val="30"/>
                    </w:rPr>
                    <w:t>本年收入与上年收入对比</w:t>
                  </w:r>
                </w:p>
                <w:p>
                  <w:pPr>
                    <w:ind w:firstLine="7035" w:firstLineChars="3350"/>
                    <w:rPr>
                      <w:rFonts w:eastAsiaTheme="minorEastAsia"/>
                    </w:rPr>
                  </w:pPr>
                  <w:r>
                    <w:rPr>
                      <w:rFonts w:hint="eastAsia" w:eastAsiaTheme="minorEastAsia"/>
                    </w:rPr>
                    <w:t>单位：万元</w:t>
                  </w:r>
                </w:p>
              </w:txbxContent>
            </v:textbox>
          </v:shape>
        </w:pict>
      </w:r>
    </w:p>
    <w:p>
      <w:pPr>
        <w:pStyle w:val="7"/>
      </w:pPr>
      <w:r>
        <w:drawing>
          <wp:anchor distT="0" distB="0" distL="114300" distR="114300" simplePos="0" relativeHeight="251660288" behindDoc="0" locked="0" layoutInCell="1" allowOverlap="1">
            <wp:simplePos x="0" y="0"/>
            <wp:positionH relativeFrom="column">
              <wp:posOffset>409575</wp:posOffset>
            </wp:positionH>
            <wp:positionV relativeFrom="paragraph">
              <wp:posOffset>241300</wp:posOffset>
            </wp:positionV>
            <wp:extent cx="5276850" cy="3590925"/>
            <wp:effectExtent l="0" t="0" r="19050" b="9525"/>
            <wp:wrapSquare wrapText="bothSides"/>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anchor>
        </w:drawing>
      </w:r>
    </w:p>
    <w:p>
      <w:pPr>
        <w:pStyle w:val="7"/>
      </w:pPr>
    </w:p>
    <w:p>
      <w:pPr>
        <w:pStyle w:val="7"/>
      </w:pPr>
    </w:p>
    <w:p>
      <w:pPr>
        <w:pStyle w:val="7"/>
      </w:pPr>
    </w:p>
    <w:p>
      <w:pPr>
        <w:pStyle w:val="7"/>
      </w:pPr>
    </w:p>
    <w:p>
      <w:pPr>
        <w:pStyle w:val="7"/>
      </w:pPr>
    </w:p>
    <w:p>
      <w:pPr>
        <w:pStyle w:val="7"/>
      </w:pPr>
    </w:p>
    <w:p>
      <w:pPr>
        <w:pStyle w:val="7"/>
      </w:pPr>
    </w:p>
    <w:p>
      <w:pPr>
        <w:pStyle w:val="7"/>
      </w:pPr>
    </w:p>
    <w:p>
      <w:pPr>
        <w:pStyle w:val="7"/>
      </w:pPr>
    </w:p>
    <w:p>
      <w:pPr>
        <w:pStyle w:val="7"/>
      </w:pPr>
    </w:p>
    <w:p>
      <w:pPr>
        <w:kinsoku w:val="0"/>
        <w:wordWrap w:val="0"/>
        <w:spacing w:line="560" w:lineRule="atLeast"/>
        <w:ind w:firstLine="643" w:firstLineChars="200"/>
        <w:outlineLvl w:val="0"/>
        <w:rPr>
          <w:rFonts w:ascii="黑体" w:hAnsi="黑体" w:eastAsia="黑体" w:cs="黑体"/>
          <w:b/>
          <w:bCs/>
          <w:sz w:val="32"/>
          <w:szCs w:val="32"/>
        </w:rPr>
      </w:pPr>
      <w:r>
        <w:rPr>
          <w:rFonts w:hint="eastAsia" w:ascii="黑体" w:hAnsi="黑体" w:eastAsia="黑体" w:cs="黑体"/>
          <w:b/>
          <w:bCs/>
          <w:sz w:val="32"/>
          <w:szCs w:val="32"/>
        </w:rPr>
        <w:t>三、支出预算情况说明</w:t>
      </w:r>
    </w:p>
    <w:p>
      <w:pPr>
        <w:pStyle w:val="7"/>
      </w:pPr>
      <w:r>
        <w:rPr>
          <w:rFonts w:hint="eastAsia"/>
        </w:rPr>
        <w:t>包头市中心医院2024年支出总预算合计142377.36万元，其中：</w:t>
      </w:r>
    </w:p>
    <w:p>
      <w:pPr>
        <w:pStyle w:val="7"/>
      </w:pPr>
      <w:r>
        <w:rPr>
          <w:rFonts w:hint="eastAsia"/>
        </w:rPr>
        <w:t>基本支出</w:t>
      </w:r>
      <w:r>
        <w:rPr>
          <w:rFonts w:hint="eastAsia"/>
          <w:bCs/>
          <w:color w:val="000000" w:themeColor="text1"/>
        </w:rPr>
        <w:t>17867.60</w:t>
      </w:r>
      <w:r>
        <w:rPr>
          <w:rFonts w:hint="eastAsia"/>
        </w:rPr>
        <w:t>万元，占12.55%；</w:t>
      </w:r>
    </w:p>
    <w:p>
      <w:pPr>
        <w:pStyle w:val="7"/>
      </w:pPr>
      <w:r>
        <w:rPr>
          <w:rFonts w:hint="eastAsia"/>
        </w:rPr>
        <w:t>项目支出124509.76万元，占87.45%；</w:t>
      </w:r>
    </w:p>
    <w:p>
      <w:pPr>
        <w:pStyle w:val="7"/>
      </w:pPr>
      <w:r>
        <w:rPr>
          <w:rFonts w:hint="eastAsia"/>
        </w:rPr>
        <w:t>事业单位经营支出0万元，占0%；</w:t>
      </w:r>
    </w:p>
    <w:p>
      <w:pPr>
        <w:pStyle w:val="7"/>
      </w:pPr>
      <w:r>
        <w:rPr>
          <w:rFonts w:hint="eastAsia"/>
        </w:rPr>
        <w:t>上缴上级支出0万元，占0%；</w:t>
      </w:r>
    </w:p>
    <w:p>
      <w:pPr>
        <w:pStyle w:val="7"/>
      </w:pPr>
      <w:r>
        <w:rPr>
          <w:rFonts w:hint="eastAsia"/>
        </w:rPr>
        <w:t>对附属单位补助支出0万元，占0%。</w:t>
      </w:r>
    </w:p>
    <w:p>
      <w:pPr>
        <w:pStyle w:val="6"/>
        <w:kinsoku w:val="0"/>
        <w:wordWrap w:val="0"/>
        <w:spacing w:line="560" w:lineRule="atLeast"/>
        <w:jc w:val="center"/>
        <w:rPr>
          <w:rFonts w:ascii="仿宋" w:hAnsi="仿宋" w:eastAsia="仿宋"/>
          <w:sz w:val="32"/>
          <w:szCs w:val="32"/>
        </w:rPr>
      </w:pPr>
      <w:r>
        <w:rPr>
          <w:rFonts w:hint="eastAsia" w:ascii="仿宋" w:hAnsi="仿宋" w:eastAsia="仿宋"/>
          <w:sz w:val="32"/>
          <w:szCs w:val="32"/>
        </w:rPr>
        <w:t>本年支出与上年支出对比</w:t>
      </w:r>
    </w:p>
    <w:p>
      <w:pPr>
        <w:pStyle w:val="7"/>
      </w:pPr>
    </w:p>
    <w:p>
      <w:pPr>
        <w:pStyle w:val="7"/>
      </w:pPr>
      <w:r>
        <w:rPr>
          <w:rFonts w:hint="eastAsia"/>
        </w:rPr>
        <w:t>上</w:t>
      </w:r>
    </w:p>
    <w:p>
      <w:pPr>
        <w:pStyle w:val="7"/>
      </w:pPr>
      <w:r>
        <w:rPr>
          <w:rFonts w:hint="eastAsia"/>
        </w:rPr>
        <w:t>对</w:t>
      </w:r>
    </w:p>
    <w:p>
      <w:pPr>
        <w:pStyle w:val="7"/>
      </w:pPr>
    </w:p>
    <w:p>
      <w:pPr>
        <w:pStyle w:val="7"/>
        <w:rPr>
          <w:rFonts w:cs="仿宋"/>
        </w:rPr>
      </w:pPr>
      <w:r>
        <w:pict>
          <v:shape id="文本框 1" o:spid="_x0000_s1027" o:spt="202" type="#_x0000_t202" style="position:absolute;left:0pt;margin-left:32.25pt;margin-top:20.25pt;height:52.5pt;width:415.3pt;z-index:-251655168;mso-width-relative:page;mso-height-relative:margin;"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">
            <v:path/>
            <v:fill focussize="0,0"/>
            <v:stroke on="f" joinstyle="miter"/>
            <v:imagedata o:title=""/>
            <o:lock v:ext="edit"/>
            <v:textbox inset="0mm,0mm,0mm,0mm">
              <w:txbxContent>
                <w:p>
                  <w:pPr>
                    <w:pStyle w:val="6"/>
                    <w:jc w:val="center"/>
                    <w:rPr>
                      <w:sz w:val="30"/>
                      <w:szCs w:val="30"/>
                    </w:rPr>
                  </w:pPr>
                  <w:r>
                    <w:rPr>
                      <w:rFonts w:hint="eastAsia"/>
                      <w:sz w:val="30"/>
                      <w:szCs w:val="30"/>
                    </w:rPr>
                    <w:t>本年支出与上年支出对比</w:t>
                  </w:r>
                </w:p>
                <w:p>
                  <w:pPr>
                    <w:ind w:firstLine="6930" w:firstLineChars="3300"/>
                    <w:rPr>
                      <w:rFonts w:eastAsiaTheme="minorEastAsia"/>
                    </w:rPr>
                  </w:pPr>
                  <w:r>
                    <w:rPr>
                      <w:rFonts w:hint="eastAsia" w:eastAsiaTheme="minorEastAsia"/>
                    </w:rPr>
                    <w:t>单位：万元</w:t>
                  </w:r>
                </w:p>
                <w:p>
                  <w:pPr>
                    <w:pStyle w:val="2"/>
                  </w:pPr>
                </w:p>
                <w:p>
                  <w:pPr>
                    <w:rPr>
                      <w:rFonts w:eastAsiaTheme="minorEastAsia"/>
                    </w:rPr>
                  </w:pPr>
                  <w:r>
                    <w:rPr>
                      <w:rFonts w:hint="eastAsia" w:eastAsiaTheme="minorEastAsia"/>
                    </w:rPr>
                    <w:t>万元</w:t>
                  </w:r>
                </w:p>
              </w:txbxContent>
            </v:textbox>
          </v:shape>
        </w:pict>
      </w:r>
    </w:p>
    <w:p>
      <w:pPr>
        <w:pStyle w:val="7"/>
      </w:pPr>
    </w:p>
    <w:p>
      <w:pPr>
        <w:pStyle w:val="7"/>
      </w:pPr>
      <w:r>
        <w:rPr>
          <w:rFonts w:hint="eastAsia"/>
        </w:rPr>
        <w:drawing>
          <wp:anchor distT="0" distB="0" distL="114300" distR="114300" simplePos="0" relativeHeight="251663360" behindDoc="0" locked="0" layoutInCell="1" allowOverlap="1">
            <wp:simplePos x="0" y="0"/>
            <wp:positionH relativeFrom="column">
              <wp:posOffset>409575</wp:posOffset>
            </wp:positionH>
            <wp:positionV relativeFrom="paragraph">
              <wp:posOffset>-2012950</wp:posOffset>
            </wp:positionV>
            <wp:extent cx="5276850" cy="3324225"/>
            <wp:effectExtent l="0" t="0" r="19050" b="9525"/>
            <wp:wrapSquare wrapText="bothSides"/>
            <wp:docPr id="4"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anchor>
        </w:drawing>
      </w:r>
    </w:p>
    <w:p>
      <w:pPr>
        <w:pStyle w:val="7"/>
      </w:pPr>
    </w:p>
    <w:p>
      <w:pPr>
        <w:pStyle w:val="7"/>
      </w:pPr>
    </w:p>
    <w:p>
      <w:pPr>
        <w:kinsoku w:val="0"/>
        <w:wordWrap w:val="0"/>
        <w:spacing w:line="560" w:lineRule="atLeast"/>
        <w:outlineLvl w:val="0"/>
        <w:rPr>
          <w:rFonts w:ascii="仿宋" w:hAnsi="仿宋" w:eastAsia="仿宋" w:cs="黑体"/>
          <w:b/>
          <w:bCs/>
          <w:sz w:val="32"/>
          <w:szCs w:val="32"/>
        </w:rPr>
      </w:pPr>
    </w:p>
    <w:p>
      <w:pPr>
        <w:kinsoku w:val="0"/>
        <w:wordWrap w:val="0"/>
        <w:spacing w:line="560" w:lineRule="atLeast"/>
        <w:ind w:firstLine="643" w:firstLineChars="200"/>
        <w:outlineLvl w:val="0"/>
        <w:rPr>
          <w:rFonts w:ascii="黑体" w:hAnsi="黑体" w:eastAsia="黑体" w:cs="黑体"/>
          <w:b/>
          <w:bCs/>
          <w:sz w:val="32"/>
          <w:szCs w:val="32"/>
        </w:rPr>
      </w:pPr>
      <w:r>
        <w:rPr>
          <w:rFonts w:hint="eastAsia" w:ascii="黑体" w:hAnsi="黑体" w:eastAsia="黑体" w:cs="黑体"/>
          <w:b/>
          <w:bCs/>
          <w:sz w:val="32"/>
          <w:szCs w:val="32"/>
        </w:rPr>
        <w:t>四、财政拨款收支预算总体情况说明</w:t>
      </w:r>
    </w:p>
    <w:p>
      <w:pPr>
        <w:pStyle w:val="7"/>
      </w:pPr>
      <w:r>
        <w:rPr>
          <w:rFonts w:hint="eastAsia"/>
        </w:rPr>
        <w:t>包头市中心医院2024年度财政拨款收、支总预算12654.57万元。与上年相比，财政拨款收、支总计各减少500.30万元，减少3.80%。主要原因</w:t>
      </w:r>
      <w:r>
        <w:rPr>
          <w:rFonts w:hint="eastAsia" w:cstheme="minorBidi"/>
        </w:rPr>
        <w:t>：上年结转结余资金减少。</w:t>
      </w:r>
    </w:p>
    <w:p>
      <w:pPr>
        <w:pStyle w:val="7"/>
      </w:pPr>
      <w:r>
        <w:rPr>
          <w:rFonts w:hint="eastAsia"/>
        </w:rPr>
        <w:t>五、一般公共预算支出预算情况说明</w:t>
      </w:r>
    </w:p>
    <w:p>
      <w:pPr>
        <w:pStyle w:val="7"/>
        <w:rPr>
          <w:bCs/>
          <w:color w:val="000000" w:themeColor="text1"/>
        </w:rPr>
      </w:pPr>
      <w:r>
        <w:rPr>
          <w:rFonts w:hint="eastAsia"/>
        </w:rPr>
        <w:t>包头市中心医院2024年一般公共预算财政拨款支出预算</w:t>
      </w:r>
      <w:r>
        <w:rPr>
          <w:rFonts w:hint="eastAsia"/>
          <w:bCs/>
          <w:color w:val="000000" w:themeColor="text1"/>
        </w:rPr>
        <w:t>12654.57</w:t>
      </w:r>
      <w:r>
        <w:rPr>
          <w:rFonts w:hint="eastAsia"/>
        </w:rPr>
        <w:t>万元，与上年相比，减少500.3万元，减少3.8%，主要原因是</w:t>
      </w:r>
      <w:r>
        <w:rPr>
          <w:rFonts w:hint="eastAsia" w:cstheme="minorBidi"/>
        </w:rPr>
        <w:t>：</w:t>
      </w:r>
      <w:r>
        <w:rPr>
          <w:rFonts w:hint="eastAsia"/>
        </w:rPr>
        <w:t>购入重症呼吸机等设备，公共卫生健康支出增加，上年结转财政拨款结转结余减少。</w:t>
      </w:r>
    </w:p>
    <w:p>
      <w:pPr>
        <w:pStyle w:val="7"/>
      </w:pPr>
      <w:r>
        <w:rPr>
          <w:rFonts w:hint="eastAsia" w:cs="楷体"/>
          <w:bCs/>
        </w:rPr>
        <w:t>（一）</w:t>
      </w:r>
      <w:r>
        <w:rPr>
          <w:rFonts w:hint="eastAsia"/>
        </w:rPr>
        <w:t>科学技术支出(类)</w:t>
      </w:r>
    </w:p>
    <w:p>
      <w:pPr>
        <w:pStyle w:val="7"/>
        <w:rPr>
          <w:rFonts w:cs="楷体"/>
          <w:b/>
          <w:bCs/>
        </w:rPr>
      </w:pPr>
      <w:r>
        <w:rPr>
          <w:rFonts w:hint="eastAsia"/>
        </w:rPr>
        <w:t>1.基础研究（款）自然科学基金（项）。年初预算33.18万元，与上年相比增加33.18万元，增长100%。变动原因：增加了上年财政拨款结转结余。</w:t>
      </w:r>
    </w:p>
    <w:p>
      <w:pPr>
        <w:pStyle w:val="7"/>
      </w:pPr>
      <w:r>
        <w:rPr>
          <w:rFonts w:hint="eastAsia"/>
        </w:rPr>
        <w:t>2. 应用研究（款）其他应用研究支出（项）。年初预算57.02万元，与上年相比增加57.02万元，增长100%。变动原因：增加了上年财政拨款结转结余。</w:t>
      </w:r>
    </w:p>
    <w:p>
      <w:pPr>
        <w:pStyle w:val="7"/>
      </w:pPr>
      <w:r>
        <w:rPr>
          <w:rFonts w:hint="eastAsia"/>
        </w:rPr>
        <w:t>3. 技术研究与开发（款）科技成果转化与扩散（项）。年初预算50.00万元，与上年相比增加50.00万元，增长100%。变动原因：增加了上年财政拨款结转结余。</w:t>
      </w:r>
    </w:p>
    <w:p>
      <w:pPr>
        <w:pStyle w:val="7"/>
      </w:pPr>
      <w:r>
        <w:rPr>
          <w:rFonts w:hint="eastAsia"/>
        </w:rPr>
        <w:t>4. 技术研究与开发（款）其他技术研究与开发支出（项）。年初预算39.61万元，与上年相比增加39.61万元，增长100%。变动原因：增加了上年财政拨款结转结余。</w:t>
      </w:r>
    </w:p>
    <w:p>
      <w:pPr>
        <w:pStyle w:val="7"/>
      </w:pPr>
      <w:r>
        <w:rPr>
          <w:rFonts w:hint="eastAsia" w:cs="楷体"/>
          <w:bCs/>
        </w:rPr>
        <w:t>（二）</w:t>
      </w:r>
      <w:r>
        <w:rPr>
          <w:rFonts w:hint="eastAsia"/>
        </w:rPr>
        <w:t>社会保障和就业支出(类)</w:t>
      </w:r>
    </w:p>
    <w:p>
      <w:pPr>
        <w:pStyle w:val="7"/>
      </w:pPr>
      <w:r>
        <w:rPr>
          <w:rFonts w:hint="eastAsia"/>
        </w:rPr>
        <w:t>1.行政事业单位养老支出（款）事业单位离退休（项）。年初预算740.44万元，与上年相比增加196.67万元，增长36.17%。变动原因：本年退休人员增加并调整工资，增加艰苦边远地区津贴。</w:t>
      </w:r>
    </w:p>
    <w:p>
      <w:pPr>
        <w:pStyle w:val="7"/>
      </w:pPr>
      <w:r>
        <w:rPr>
          <w:rFonts w:hint="eastAsia"/>
        </w:rPr>
        <w:t>2.行政事业单位养老支出（款）机关事业单位基本养老保险缴费支出（项）。年初预算1019.52万元，与上年相比增加30.76万元，增长3.11%。变动原因：本年在编人员增加并调整工资，增加艰苦边远地区津贴。</w:t>
      </w:r>
    </w:p>
    <w:p>
      <w:pPr>
        <w:pStyle w:val="7"/>
      </w:pPr>
      <w:r>
        <w:rPr>
          <w:rFonts w:hint="eastAsia"/>
        </w:rPr>
        <w:t>3.行政事业单位养老支出（款）机关事业单位职业年金缴费支出（项）年初预算509.76万元，与上年相比增加15.38万元，增长3.11%。变动原因：本年在编人员增加并调整工资，增加了艰苦边远地区津贴。</w:t>
      </w:r>
    </w:p>
    <w:p>
      <w:pPr>
        <w:pStyle w:val="7"/>
      </w:pPr>
      <w:r>
        <w:rPr>
          <w:rFonts w:hint="eastAsia"/>
        </w:rPr>
        <w:t>（三）卫生健康支出（类）</w:t>
      </w:r>
    </w:p>
    <w:p>
      <w:pPr>
        <w:pStyle w:val="7"/>
      </w:pPr>
      <w:r>
        <w:rPr>
          <w:rFonts w:hint="eastAsia"/>
        </w:rPr>
        <w:t>1.公立医院（款）综合医院（项）。年初预算8409.61万元，与上年相比增加117.23万元，增长1.41%。变动原因：本年在编人员增加并调整工资。</w:t>
      </w:r>
    </w:p>
    <w:p>
      <w:pPr>
        <w:pStyle w:val="7"/>
      </w:pPr>
      <w:r>
        <w:rPr>
          <w:rFonts w:hint="eastAsia"/>
        </w:rPr>
        <w:t>2.公立医院（款）其他公立医院支出（项）。年初预算490.21万元，与上年相比增加490.21万元，增长100%。变动原因：增加了上年财政拨款结转结余。</w:t>
      </w:r>
    </w:p>
    <w:p>
      <w:pPr>
        <w:pStyle w:val="7"/>
      </w:pPr>
      <w:r>
        <w:rPr>
          <w:rFonts w:hint="eastAsia"/>
        </w:rPr>
        <w:t>3.公共卫生（款）重大公共卫生服务（项）。年初预算38.14万元，与上年相比增加38.14万元，增长100%。变动原因：增加了上年财政拨款结转结余。</w:t>
      </w:r>
    </w:p>
    <w:p>
      <w:pPr>
        <w:pStyle w:val="7"/>
      </w:pPr>
      <w:r>
        <w:rPr>
          <w:rFonts w:hint="eastAsia"/>
        </w:rPr>
        <w:t>4.公共卫生（款）突发公共卫生事件应急处置（项）。年初预算55.24万元，与上年相比减少1610.03万元，减少96.68%。变动原因：购入重症呼吸机等设备。</w:t>
      </w:r>
    </w:p>
    <w:p>
      <w:pPr>
        <w:pStyle w:val="7"/>
      </w:pPr>
      <w:r>
        <w:rPr>
          <w:rFonts w:hint="eastAsia"/>
        </w:rPr>
        <w:t>5.行政事业单位医疗（款）事业单位医疗（项）。年初预算415.44万元，与上年相比增加12.48万元，增长3.1%。变动原因：本年在编人员增加并调整工资。</w:t>
      </w:r>
    </w:p>
    <w:p>
      <w:pPr>
        <w:pStyle w:val="7"/>
      </w:pPr>
      <w:r>
        <w:rPr>
          <w:rFonts w:hint="eastAsia"/>
        </w:rPr>
        <w:t>6.中医药事物（款）中医（民族医）药专项（项）。年初预算6.35万元，与上年相比增加6.35万元，增长100%。变动原因：增加了上年财政拨款结转结余。</w:t>
      </w:r>
    </w:p>
    <w:p>
      <w:pPr>
        <w:pStyle w:val="7"/>
      </w:pPr>
      <w:r>
        <w:rPr>
          <w:rFonts w:hint="eastAsia"/>
        </w:rPr>
        <w:t>（四）住房保障支出（类）</w:t>
      </w:r>
    </w:p>
    <w:p>
      <w:pPr>
        <w:pStyle w:val="7"/>
      </w:pPr>
      <w:r>
        <w:rPr>
          <w:rFonts w:hint="eastAsia"/>
        </w:rPr>
        <w:t>1.住房改革支出（款）住房公积金（项）。年初预算790.05万元，与上年相比增加22.7万元，与上年相比增长</w:t>
      </w:r>
      <w:bookmarkStart w:id="0" w:name="_GoBack"/>
      <w:bookmarkEnd w:id="0"/>
      <w:r>
        <w:rPr>
          <w:rFonts w:hint="eastAsia"/>
        </w:rPr>
        <w:t>2.96%。变动原因：本年在编人员增加并调整工资。</w:t>
      </w:r>
    </w:p>
    <w:p>
      <w:pPr>
        <w:pStyle w:val="7"/>
      </w:pPr>
      <w:r>
        <w:rPr>
          <w:rFonts w:hint="eastAsia"/>
        </w:rPr>
        <w:t>六、一般公共预算基本支出预算情况说明</w:t>
      </w:r>
    </w:p>
    <w:p>
      <w:pPr>
        <w:pStyle w:val="7"/>
      </w:pPr>
      <w:r>
        <w:rPr>
          <w:rFonts w:hint="eastAsia"/>
        </w:rPr>
        <w:t>包头市中心医院2024年度一般公共预算财政拨款基本支出预算11884.81万元，其中：</w:t>
      </w:r>
    </w:p>
    <w:p>
      <w:pPr>
        <w:pStyle w:val="7"/>
        <w:ind w:firstLine="643"/>
      </w:pPr>
      <w:r>
        <w:rPr>
          <w:rFonts w:hint="eastAsia" w:cs="宋体"/>
          <w:b/>
          <w:bCs/>
        </w:rPr>
        <w:t>（一）人员经费</w:t>
      </w:r>
      <w:r>
        <w:rPr>
          <w:rFonts w:hint="eastAsia"/>
          <w:b/>
          <w:bCs/>
        </w:rPr>
        <w:t>11851.33</w:t>
      </w:r>
      <w:r>
        <w:rPr>
          <w:rFonts w:hint="eastAsia" w:cs="宋体"/>
          <w:b/>
          <w:bCs/>
        </w:rPr>
        <w:t>万元</w:t>
      </w:r>
      <w:r>
        <w:rPr>
          <w:rFonts w:hint="eastAsia"/>
        </w:rPr>
        <w:t>。主要包括：基本工资3203.47万元、津贴补贴827.86万元、奖金1495.26万元、绩效工资2492.10万元、机关事业单位基本养老保险1019.52万元、职业年金缴费509.76万元、职工基本医疗保险缴费415.44万元、其他社会保障缴费70.69万元、住房公积金790.05万元、工会经费127.44万元、福利费159.30万元、离休费47.58万元、退休费685.81万元、生活补助7.05万元。</w:t>
      </w:r>
    </w:p>
    <w:p>
      <w:pPr>
        <w:pStyle w:val="7"/>
        <w:ind w:firstLine="643"/>
      </w:pPr>
      <w:r>
        <w:rPr>
          <w:rFonts w:hint="eastAsia" w:cs="宋体"/>
          <w:b/>
          <w:bCs/>
        </w:rPr>
        <w:t>（二）公用经费</w:t>
      </w:r>
      <w:r>
        <w:rPr>
          <w:rFonts w:hint="eastAsia"/>
          <w:b/>
          <w:bCs/>
        </w:rPr>
        <w:t>33.48</w:t>
      </w:r>
      <w:r>
        <w:rPr>
          <w:rFonts w:hint="eastAsia" w:cs="宋体"/>
          <w:b/>
          <w:bCs/>
        </w:rPr>
        <w:t>万元</w:t>
      </w:r>
      <w:r>
        <w:rPr>
          <w:rFonts w:hint="eastAsia"/>
        </w:rPr>
        <w:t>。主要包括：其他商品和服务支出33.48万元。</w:t>
      </w:r>
    </w:p>
    <w:p>
      <w:pPr>
        <w:kinsoku w:val="0"/>
        <w:wordWrap w:val="0"/>
        <w:spacing w:line="560" w:lineRule="atLeast"/>
        <w:ind w:firstLine="643" w:firstLineChars="200"/>
        <w:outlineLvl w:val="0"/>
        <w:rPr>
          <w:rFonts w:ascii="黑体" w:hAnsi="黑体" w:eastAsia="黑体" w:cs="黑体"/>
          <w:b/>
          <w:bCs/>
          <w:sz w:val="32"/>
          <w:szCs w:val="32"/>
        </w:rPr>
      </w:pPr>
      <w:r>
        <w:rPr>
          <w:rFonts w:hint="eastAsia" w:ascii="黑体" w:hAnsi="黑体" w:eastAsia="黑体" w:cs="黑体"/>
          <w:b/>
          <w:bCs/>
          <w:sz w:val="32"/>
          <w:szCs w:val="32"/>
        </w:rPr>
        <w:t>七、一般公共预算“三公”经费支出预算情况说明</w:t>
      </w:r>
    </w:p>
    <w:p>
      <w:pPr>
        <w:pStyle w:val="7"/>
      </w:pPr>
      <w:r>
        <w:rPr>
          <w:rFonts w:hint="eastAsia"/>
        </w:rPr>
        <w:t>包头市中心医院2024年度一般公共预算拨款安排的“三公”经费预算支出0万元，其中因公出国（境）费支出0万元，占“三公”经费的0%；公务用车购置及运行维护费支出0万元，占“三公”经费的0%；公务接待费支出0万元，占“三公”经费的0%。具体情况如下：</w:t>
      </w:r>
    </w:p>
    <w:p>
      <w:pPr>
        <w:pStyle w:val="7"/>
      </w:pPr>
      <w:r>
        <w:rPr>
          <w:rFonts w:hint="eastAsia"/>
        </w:rPr>
        <w:t>一般公共预算拨款安排的“三公”经费预算支出0万元，比上年预算增加0万元，增长0%；其中：</w:t>
      </w:r>
    </w:p>
    <w:p>
      <w:pPr>
        <w:pStyle w:val="7"/>
      </w:pPr>
      <w:r>
        <w:rPr>
          <w:rFonts w:hint="eastAsia"/>
        </w:rPr>
        <w:t>1．因公出国（境）费预算支出0万元，比上年预算增加0万元，主要原因是本单位不涉及。</w:t>
      </w:r>
    </w:p>
    <w:p>
      <w:pPr>
        <w:pStyle w:val="7"/>
      </w:pPr>
      <w:r>
        <w:rPr>
          <w:rFonts w:hint="eastAsia"/>
        </w:rPr>
        <w:t>2．公务用车购置及运行维护费预算支出</w:t>
      </w:r>
      <w:r>
        <w:rPr>
          <w:rFonts w:hint="eastAsia"/>
        </w:rPr>
        <w:tab/>
      </w:r>
      <w:r>
        <w:rPr>
          <w:rFonts w:hint="eastAsia"/>
        </w:rPr>
        <w:t>0万元。其中：</w:t>
      </w:r>
    </w:p>
    <w:p>
      <w:pPr>
        <w:pStyle w:val="7"/>
      </w:pPr>
      <w:r>
        <w:rPr>
          <w:rFonts w:hint="eastAsia"/>
        </w:rPr>
        <w:t>（1）公务用车购置预算支出0万元，比上年预算增加0万元，主要原因是本单位不涉及。</w:t>
      </w:r>
    </w:p>
    <w:p>
      <w:pPr>
        <w:pStyle w:val="7"/>
      </w:pPr>
      <w:r>
        <w:rPr>
          <w:rFonts w:hint="eastAsia"/>
        </w:rPr>
        <w:t>（2）公务用车运行维护费预算支出0万元，比上年预算增加0万元，主要原因是本单位不涉及。</w:t>
      </w:r>
    </w:p>
    <w:p>
      <w:pPr>
        <w:pStyle w:val="7"/>
      </w:pPr>
      <w:r>
        <w:rPr>
          <w:rFonts w:hint="eastAsia"/>
        </w:rPr>
        <w:t>3．公务接待费预算支出0万元，比上年预算增加0万元，主要原因是本单位不涉及。</w:t>
      </w:r>
    </w:p>
    <w:p>
      <w:pPr>
        <w:kinsoku w:val="0"/>
        <w:wordWrap w:val="0"/>
        <w:spacing w:line="560" w:lineRule="atLeast"/>
        <w:ind w:firstLine="643" w:firstLineChars="200"/>
        <w:outlineLvl w:val="0"/>
        <w:rPr>
          <w:rFonts w:ascii="黑体" w:hAnsi="黑体" w:eastAsia="黑体" w:cs="黑体"/>
          <w:b/>
          <w:bCs/>
          <w:sz w:val="32"/>
          <w:szCs w:val="32"/>
        </w:rPr>
      </w:pPr>
      <w:r>
        <w:rPr>
          <w:rFonts w:hint="eastAsia" w:ascii="黑体" w:hAnsi="黑体" w:eastAsia="黑体" w:cs="黑体"/>
          <w:b/>
          <w:bCs/>
          <w:sz w:val="32"/>
          <w:szCs w:val="32"/>
        </w:rPr>
        <w:t>八、政府性基金预算支出预算情况说明</w:t>
      </w:r>
    </w:p>
    <w:p>
      <w:pPr>
        <w:pStyle w:val="7"/>
      </w:pPr>
      <w:r>
        <w:rPr>
          <w:rFonts w:hint="eastAsia"/>
        </w:rPr>
        <w:t>包头市中心医院2024年政府性基金预算支出0万元。与上年相比增加0万元，增长0%。主要原因是本年无政府性基金预算拨款支出,以空表列示。</w:t>
      </w:r>
    </w:p>
    <w:p>
      <w:pPr>
        <w:kinsoku w:val="0"/>
        <w:wordWrap w:val="0"/>
        <w:spacing w:line="560" w:lineRule="atLeast"/>
        <w:ind w:firstLine="643" w:firstLineChars="200"/>
        <w:outlineLvl w:val="0"/>
        <w:rPr>
          <w:rFonts w:ascii="黑体" w:hAnsi="黑体" w:eastAsia="黑体" w:cs="黑体"/>
          <w:b/>
          <w:bCs/>
          <w:sz w:val="32"/>
          <w:szCs w:val="32"/>
        </w:rPr>
      </w:pPr>
      <w:r>
        <w:rPr>
          <w:rFonts w:hint="eastAsia" w:ascii="黑体" w:hAnsi="黑体" w:eastAsia="黑体" w:cs="黑体"/>
          <w:b/>
          <w:bCs/>
          <w:sz w:val="32"/>
          <w:szCs w:val="32"/>
        </w:rPr>
        <w:t>九、国有资本经营预算支出预算情况说明</w:t>
      </w:r>
    </w:p>
    <w:p>
      <w:pPr>
        <w:pStyle w:val="7"/>
      </w:pPr>
      <w:r>
        <w:rPr>
          <w:rFonts w:hint="eastAsia"/>
        </w:rPr>
        <w:t>包头市中心医院2024年国有资本经营预算支出0万元。与上年相比增加0万元，增长0%。主要原因是本年无国有资本经营预算拨款支出,以空表列示。</w:t>
      </w:r>
    </w:p>
    <w:p>
      <w:pPr>
        <w:kinsoku w:val="0"/>
        <w:wordWrap w:val="0"/>
        <w:spacing w:line="560" w:lineRule="atLeast"/>
        <w:ind w:firstLine="643" w:firstLineChars="200"/>
        <w:outlineLvl w:val="0"/>
        <w:rPr>
          <w:rFonts w:ascii="黑体" w:hAnsi="黑体" w:eastAsia="黑体" w:cs="黑体"/>
          <w:b/>
          <w:bCs/>
          <w:sz w:val="32"/>
          <w:szCs w:val="32"/>
        </w:rPr>
      </w:pPr>
      <w:r>
        <w:rPr>
          <w:rFonts w:hint="eastAsia" w:ascii="黑体" w:hAnsi="黑体" w:eastAsia="黑体" w:cs="黑体"/>
          <w:b/>
          <w:bCs/>
          <w:sz w:val="32"/>
          <w:szCs w:val="32"/>
        </w:rPr>
        <w:t>十、项目支出预算情况说明</w:t>
      </w:r>
    </w:p>
    <w:p>
      <w:pPr>
        <w:pBdr>
          <w:bottom w:val="single" w:color="FFFFFF" w:sz="4" w:space="30"/>
        </w:pBdr>
        <w:kinsoku w:val="0"/>
        <w:wordWrap w:val="0"/>
        <w:spacing w:line="560" w:lineRule="atLeast"/>
        <w:ind w:firstLine="640" w:firstLineChars="200"/>
        <w:rPr>
          <w:rFonts w:ascii="仿宋" w:hAnsi="仿宋" w:eastAsia="仿宋" w:cs="仿宋"/>
          <w:sz w:val="32"/>
          <w:szCs w:val="32"/>
        </w:rPr>
      </w:pPr>
      <w:r>
        <w:rPr>
          <w:rFonts w:hint="eastAsia" w:ascii="仿宋" w:hAnsi="仿宋" w:eastAsia="仿宋" w:cs="仿宋"/>
          <w:sz w:val="32"/>
          <w:szCs w:val="32"/>
        </w:rPr>
        <w:t>2024年包头市中心医院预算安排项目20个，项目预算总金额124509.76万元。其中，本年拨款478.33万元，财政拨款结转结余291.43万元，财政专户管理资金0万元，单位资金123740万元。</w:t>
      </w:r>
    </w:p>
    <w:p>
      <w:pPr>
        <w:pBdr>
          <w:bottom w:val="single" w:color="FFFFFF" w:sz="4" w:space="30"/>
        </w:pBdr>
        <w:kinsoku w:val="0"/>
        <w:wordWrap w:val="0"/>
        <w:spacing w:line="560" w:lineRule="atLeast"/>
        <w:ind w:firstLine="640" w:firstLineChars="200"/>
        <w:rPr>
          <w:rFonts w:ascii="楷体" w:hAnsi="楷体" w:eastAsia="楷体"/>
          <w:bCs/>
          <w:sz w:val="32"/>
          <w:szCs w:val="32"/>
        </w:rPr>
      </w:pPr>
      <w:r>
        <w:rPr>
          <w:rFonts w:ascii="楷体" w:hAnsi="楷体" w:eastAsia="楷体"/>
          <w:bCs/>
          <w:sz w:val="32"/>
          <w:szCs w:val="32"/>
        </w:rPr>
        <w:t>（一）</w:t>
      </w:r>
      <w:r>
        <w:rPr>
          <w:rFonts w:hint="eastAsia" w:ascii="楷体" w:hAnsi="楷体" w:eastAsia="楷体"/>
          <w:bCs/>
          <w:sz w:val="32"/>
          <w:szCs w:val="32"/>
        </w:rPr>
        <w:t>中医药（蒙医药）事业发展补助资金</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 xml:space="preserve">1.项目概述 </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本项目主要用于</w:t>
      </w:r>
      <w:r>
        <w:rPr>
          <w:rFonts w:hint="eastAsia" w:ascii="仿宋" w:hAnsi="仿宋" w:eastAsia="仿宋"/>
          <w:bCs/>
          <w:sz w:val="32"/>
          <w:szCs w:val="32"/>
        </w:rPr>
        <w:t>2024</w:t>
      </w:r>
      <w:r>
        <w:rPr>
          <w:rFonts w:ascii="仿宋" w:hAnsi="仿宋" w:eastAsia="仿宋"/>
          <w:bCs/>
          <w:sz w:val="32"/>
          <w:szCs w:val="32"/>
        </w:rPr>
        <w:t>年</w:t>
      </w:r>
      <w:r>
        <w:rPr>
          <w:rFonts w:hint="eastAsia" w:ascii="仿宋" w:hAnsi="仿宋" w:eastAsia="仿宋"/>
          <w:bCs/>
          <w:sz w:val="32"/>
          <w:szCs w:val="32"/>
        </w:rPr>
        <w:t>开展中医药（蒙医药）传承与人才培养、促进中医药（蒙医药）服务能力提升和特色技术支持等。</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 xml:space="preserve">2.立项依据 </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hint="eastAsia" w:ascii="仿宋" w:hAnsi="仿宋" w:eastAsia="仿宋"/>
          <w:bCs/>
          <w:sz w:val="32"/>
          <w:szCs w:val="32"/>
        </w:rPr>
        <w:t>为了促进中医药（蒙医药）传承与人才培养、加强对中医药（蒙医药）服务能力提升和特色技术支持，特申请该项资金。</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 xml:space="preserve">3.实施主体 </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hint="eastAsia" w:ascii="仿宋" w:hAnsi="仿宋" w:eastAsia="仿宋"/>
          <w:bCs/>
          <w:sz w:val="32"/>
          <w:szCs w:val="32"/>
        </w:rPr>
        <w:t>包头市中心医院</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 xml:space="preserve">4.实施方案 </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根据财政批复，</w:t>
      </w:r>
      <w:r>
        <w:rPr>
          <w:rFonts w:hint="eastAsia" w:ascii="仿宋" w:hAnsi="仿宋" w:eastAsia="仿宋"/>
          <w:bCs/>
          <w:sz w:val="32"/>
          <w:szCs w:val="32"/>
        </w:rPr>
        <w:t>该项资金</w:t>
      </w:r>
      <w:r>
        <w:rPr>
          <w:rFonts w:ascii="仿宋" w:hAnsi="仿宋" w:eastAsia="仿宋"/>
          <w:bCs/>
          <w:sz w:val="32"/>
          <w:szCs w:val="32"/>
        </w:rPr>
        <w:t>主要用于</w:t>
      </w:r>
      <w:r>
        <w:rPr>
          <w:rFonts w:hint="eastAsia" w:ascii="仿宋" w:hAnsi="仿宋" w:eastAsia="仿宋"/>
          <w:bCs/>
          <w:sz w:val="32"/>
          <w:szCs w:val="32"/>
        </w:rPr>
        <w:t>继承教学、带教津贴和继承工作管理</w:t>
      </w:r>
      <w:r>
        <w:rPr>
          <w:rFonts w:ascii="仿宋" w:hAnsi="仿宋" w:eastAsia="仿宋"/>
          <w:bCs/>
          <w:sz w:val="32"/>
          <w:szCs w:val="32"/>
        </w:rPr>
        <w:t xml:space="preserve">。 </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 xml:space="preserve">5.实施周期 </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自202</w:t>
      </w:r>
      <w:r>
        <w:rPr>
          <w:rFonts w:hint="eastAsia" w:ascii="仿宋" w:hAnsi="仿宋" w:eastAsia="仿宋"/>
          <w:bCs/>
          <w:sz w:val="32"/>
          <w:szCs w:val="32"/>
        </w:rPr>
        <w:t>4</w:t>
      </w:r>
      <w:r>
        <w:rPr>
          <w:rFonts w:ascii="仿宋" w:hAnsi="仿宋" w:eastAsia="仿宋"/>
          <w:bCs/>
          <w:sz w:val="32"/>
          <w:szCs w:val="32"/>
        </w:rPr>
        <w:t>年1月1日至202</w:t>
      </w:r>
      <w:r>
        <w:rPr>
          <w:rFonts w:hint="eastAsia" w:ascii="仿宋" w:hAnsi="仿宋" w:eastAsia="仿宋"/>
          <w:bCs/>
          <w:sz w:val="32"/>
          <w:szCs w:val="32"/>
        </w:rPr>
        <w:t>4</w:t>
      </w:r>
      <w:r>
        <w:rPr>
          <w:rFonts w:ascii="仿宋" w:hAnsi="仿宋" w:eastAsia="仿宋"/>
          <w:bCs/>
          <w:sz w:val="32"/>
          <w:szCs w:val="32"/>
        </w:rPr>
        <w:t xml:space="preserve">年12月31日。 </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 xml:space="preserve">6.年度预算安排 </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202</w:t>
      </w:r>
      <w:r>
        <w:rPr>
          <w:rFonts w:hint="eastAsia" w:ascii="仿宋" w:hAnsi="仿宋" w:eastAsia="仿宋"/>
          <w:bCs/>
          <w:sz w:val="32"/>
          <w:szCs w:val="32"/>
        </w:rPr>
        <w:t>4</w:t>
      </w:r>
      <w:r>
        <w:rPr>
          <w:rFonts w:ascii="仿宋" w:hAnsi="仿宋" w:eastAsia="仿宋"/>
          <w:bCs/>
          <w:sz w:val="32"/>
          <w:szCs w:val="32"/>
        </w:rPr>
        <w:t>年该项目预算</w:t>
      </w:r>
      <w:r>
        <w:rPr>
          <w:rFonts w:hint="eastAsia" w:ascii="仿宋" w:hAnsi="仿宋" w:eastAsia="仿宋"/>
          <w:bCs/>
          <w:sz w:val="32"/>
          <w:szCs w:val="32"/>
        </w:rPr>
        <w:t>3.4万</w:t>
      </w:r>
      <w:r>
        <w:rPr>
          <w:rFonts w:ascii="仿宋" w:hAnsi="仿宋" w:eastAsia="仿宋"/>
          <w:bCs/>
          <w:sz w:val="32"/>
          <w:szCs w:val="32"/>
        </w:rPr>
        <w:t>元。</w:t>
      </w:r>
    </w:p>
    <w:p>
      <w:pPr>
        <w:pBdr>
          <w:bottom w:val="single" w:color="FFFFFF" w:sz="4" w:space="30"/>
        </w:pBdr>
        <w:kinsoku w:val="0"/>
        <w:wordWrap w:val="0"/>
        <w:spacing w:line="560" w:lineRule="atLeast"/>
        <w:ind w:firstLine="640" w:firstLineChars="200"/>
        <w:rPr>
          <w:rFonts w:ascii="楷体" w:hAnsi="楷体" w:eastAsia="楷体"/>
          <w:bCs/>
          <w:sz w:val="32"/>
          <w:szCs w:val="32"/>
        </w:rPr>
      </w:pPr>
      <w:r>
        <w:rPr>
          <w:rFonts w:ascii="楷体" w:hAnsi="楷体" w:eastAsia="楷体"/>
          <w:bCs/>
          <w:sz w:val="32"/>
          <w:szCs w:val="32"/>
        </w:rPr>
        <w:t>（二）</w:t>
      </w:r>
      <w:r>
        <w:rPr>
          <w:rFonts w:hint="eastAsia" w:ascii="楷体" w:hAnsi="楷体" w:eastAsia="楷体"/>
          <w:bCs/>
          <w:sz w:val="32"/>
          <w:szCs w:val="32"/>
        </w:rPr>
        <w:t>中医（蒙医）能力建设和学术继承补助资金</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 xml:space="preserve">1.项目概述 </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本项目主要用于</w:t>
      </w:r>
      <w:r>
        <w:rPr>
          <w:rFonts w:hint="eastAsia" w:ascii="仿宋" w:hAnsi="仿宋" w:eastAsia="仿宋"/>
          <w:bCs/>
          <w:sz w:val="32"/>
          <w:szCs w:val="32"/>
        </w:rPr>
        <w:t>2024</w:t>
      </w:r>
      <w:r>
        <w:rPr>
          <w:rFonts w:ascii="仿宋" w:hAnsi="仿宋" w:eastAsia="仿宋"/>
          <w:bCs/>
          <w:sz w:val="32"/>
          <w:szCs w:val="32"/>
        </w:rPr>
        <w:t>年</w:t>
      </w:r>
      <w:r>
        <w:rPr>
          <w:rFonts w:hint="eastAsia" w:ascii="仿宋" w:hAnsi="仿宋" w:eastAsia="仿宋"/>
          <w:bCs/>
          <w:sz w:val="32"/>
          <w:szCs w:val="32"/>
        </w:rPr>
        <w:t>开展中医（蒙医）传承与人才培养、促进中医（蒙医）服务能力提升和特色技术支持等。</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 xml:space="preserve">2.立项依据 </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hint="eastAsia" w:ascii="仿宋" w:hAnsi="仿宋" w:eastAsia="仿宋"/>
          <w:bCs/>
          <w:sz w:val="32"/>
          <w:szCs w:val="32"/>
        </w:rPr>
        <w:t>为了促进中医（蒙医）传承与人才培养、加强对中医（蒙医）服务能力提升和特色技术支持，特申请该项资金。</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 xml:space="preserve">3.实施主体 </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hint="eastAsia" w:ascii="仿宋" w:hAnsi="仿宋" w:eastAsia="仿宋"/>
          <w:bCs/>
          <w:sz w:val="32"/>
          <w:szCs w:val="32"/>
        </w:rPr>
        <w:t>包头市中心医院</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 xml:space="preserve">4.实施方案 </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根据财政批复，</w:t>
      </w:r>
      <w:r>
        <w:rPr>
          <w:rFonts w:hint="eastAsia" w:ascii="仿宋" w:hAnsi="仿宋" w:eastAsia="仿宋"/>
          <w:bCs/>
          <w:sz w:val="32"/>
          <w:szCs w:val="32"/>
        </w:rPr>
        <w:t>该项资金</w:t>
      </w:r>
      <w:r>
        <w:rPr>
          <w:rFonts w:ascii="仿宋" w:hAnsi="仿宋" w:eastAsia="仿宋"/>
          <w:bCs/>
          <w:sz w:val="32"/>
          <w:szCs w:val="32"/>
        </w:rPr>
        <w:t>主要用于</w:t>
      </w:r>
      <w:r>
        <w:rPr>
          <w:rFonts w:hint="eastAsia" w:ascii="仿宋" w:hAnsi="仿宋" w:eastAsia="仿宋"/>
          <w:bCs/>
          <w:sz w:val="32"/>
          <w:szCs w:val="32"/>
        </w:rPr>
        <w:t>继承教学、带教津贴和继承工作管理</w:t>
      </w:r>
      <w:r>
        <w:rPr>
          <w:rFonts w:ascii="仿宋" w:hAnsi="仿宋" w:eastAsia="仿宋"/>
          <w:bCs/>
          <w:sz w:val="32"/>
          <w:szCs w:val="32"/>
        </w:rPr>
        <w:t xml:space="preserve">。 </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 xml:space="preserve">5.实施周期 </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自202</w:t>
      </w:r>
      <w:r>
        <w:rPr>
          <w:rFonts w:hint="eastAsia" w:ascii="仿宋" w:hAnsi="仿宋" w:eastAsia="仿宋"/>
          <w:bCs/>
          <w:sz w:val="32"/>
          <w:szCs w:val="32"/>
        </w:rPr>
        <w:t>4</w:t>
      </w:r>
      <w:r>
        <w:rPr>
          <w:rFonts w:ascii="仿宋" w:hAnsi="仿宋" w:eastAsia="仿宋"/>
          <w:bCs/>
          <w:sz w:val="32"/>
          <w:szCs w:val="32"/>
        </w:rPr>
        <w:t>年1月1日至202</w:t>
      </w:r>
      <w:r>
        <w:rPr>
          <w:rFonts w:hint="eastAsia" w:ascii="仿宋" w:hAnsi="仿宋" w:eastAsia="仿宋"/>
          <w:bCs/>
          <w:sz w:val="32"/>
          <w:szCs w:val="32"/>
        </w:rPr>
        <w:t>4</w:t>
      </w:r>
      <w:r>
        <w:rPr>
          <w:rFonts w:ascii="仿宋" w:hAnsi="仿宋" w:eastAsia="仿宋"/>
          <w:bCs/>
          <w:sz w:val="32"/>
          <w:szCs w:val="32"/>
        </w:rPr>
        <w:t xml:space="preserve">年12月31日。 </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 xml:space="preserve">6.年度预算安排 </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202</w:t>
      </w:r>
      <w:r>
        <w:rPr>
          <w:rFonts w:hint="eastAsia" w:ascii="仿宋" w:hAnsi="仿宋" w:eastAsia="仿宋"/>
          <w:bCs/>
          <w:sz w:val="32"/>
          <w:szCs w:val="32"/>
        </w:rPr>
        <w:t>4</w:t>
      </w:r>
      <w:r>
        <w:rPr>
          <w:rFonts w:ascii="仿宋" w:hAnsi="仿宋" w:eastAsia="仿宋"/>
          <w:bCs/>
          <w:sz w:val="32"/>
          <w:szCs w:val="32"/>
        </w:rPr>
        <w:t>年该项目预算</w:t>
      </w:r>
      <w:r>
        <w:rPr>
          <w:rFonts w:hint="eastAsia" w:ascii="仿宋" w:hAnsi="仿宋" w:eastAsia="仿宋"/>
          <w:bCs/>
          <w:sz w:val="32"/>
          <w:szCs w:val="32"/>
        </w:rPr>
        <w:t>2万</w:t>
      </w:r>
      <w:r>
        <w:rPr>
          <w:rFonts w:ascii="仿宋" w:hAnsi="仿宋" w:eastAsia="仿宋"/>
          <w:bCs/>
          <w:sz w:val="32"/>
          <w:szCs w:val="32"/>
        </w:rPr>
        <w:t>元。</w:t>
      </w:r>
    </w:p>
    <w:p>
      <w:pPr>
        <w:pBdr>
          <w:bottom w:val="single" w:color="FFFFFF" w:sz="4" w:space="30"/>
        </w:pBdr>
        <w:kinsoku w:val="0"/>
        <w:wordWrap w:val="0"/>
        <w:spacing w:line="560" w:lineRule="atLeast"/>
        <w:ind w:firstLine="640" w:firstLineChars="200"/>
        <w:rPr>
          <w:rFonts w:ascii="楷体" w:hAnsi="楷体" w:eastAsia="楷体"/>
          <w:bCs/>
          <w:sz w:val="32"/>
          <w:szCs w:val="32"/>
        </w:rPr>
      </w:pPr>
      <w:r>
        <w:rPr>
          <w:rFonts w:ascii="楷体" w:hAnsi="楷体" w:eastAsia="楷体"/>
          <w:bCs/>
          <w:sz w:val="32"/>
          <w:szCs w:val="32"/>
        </w:rPr>
        <w:t>（</w:t>
      </w:r>
      <w:r>
        <w:rPr>
          <w:rFonts w:hint="eastAsia" w:ascii="楷体" w:hAnsi="楷体" w:eastAsia="楷体"/>
          <w:bCs/>
          <w:sz w:val="32"/>
          <w:szCs w:val="32"/>
        </w:rPr>
        <w:t>三</w:t>
      </w:r>
      <w:r>
        <w:rPr>
          <w:rFonts w:ascii="楷体" w:hAnsi="楷体" w:eastAsia="楷体"/>
          <w:bCs/>
          <w:sz w:val="32"/>
          <w:szCs w:val="32"/>
        </w:rPr>
        <w:t>）</w:t>
      </w:r>
      <w:r>
        <w:rPr>
          <w:rFonts w:hint="eastAsia" w:ascii="楷体" w:hAnsi="楷体" w:eastAsia="楷体"/>
          <w:bCs/>
          <w:sz w:val="32"/>
          <w:szCs w:val="32"/>
        </w:rPr>
        <w:t>中央医疗服务与保障能力提升（卫生健康人才培养）补助资金</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 xml:space="preserve">1.项目概述 </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本项目主要用于</w:t>
      </w:r>
      <w:r>
        <w:rPr>
          <w:rFonts w:hint="eastAsia" w:ascii="仿宋" w:hAnsi="仿宋" w:eastAsia="仿宋"/>
          <w:bCs/>
          <w:sz w:val="32"/>
          <w:szCs w:val="32"/>
        </w:rPr>
        <w:t>2024</w:t>
      </w:r>
      <w:r>
        <w:rPr>
          <w:rFonts w:ascii="仿宋" w:hAnsi="仿宋" w:eastAsia="仿宋"/>
          <w:bCs/>
          <w:sz w:val="32"/>
          <w:szCs w:val="32"/>
        </w:rPr>
        <w:t>年</w:t>
      </w:r>
      <w:r>
        <w:rPr>
          <w:rFonts w:hint="eastAsia" w:ascii="仿宋" w:hAnsi="仿宋" w:eastAsia="仿宋"/>
          <w:bCs/>
          <w:sz w:val="32"/>
          <w:szCs w:val="32"/>
        </w:rPr>
        <w:t>开展卫生健康人才培养。</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 xml:space="preserve">2.立项依据 </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hint="eastAsia" w:ascii="仿宋" w:hAnsi="仿宋" w:eastAsia="仿宋"/>
          <w:bCs/>
          <w:sz w:val="32"/>
          <w:szCs w:val="32"/>
        </w:rPr>
        <w:t>为了支持卫生健康人才培养工作，提高医疗卫生工作质量，强化卫生人才队伍建设，特申请该项资金。</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 xml:space="preserve">3.实施主体 </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hint="eastAsia" w:ascii="仿宋" w:hAnsi="仿宋" w:eastAsia="仿宋"/>
          <w:bCs/>
          <w:sz w:val="32"/>
          <w:szCs w:val="32"/>
        </w:rPr>
        <w:t>包头市中心医院</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 xml:space="preserve">4.实施方案 </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根据财政批复，</w:t>
      </w:r>
      <w:r>
        <w:rPr>
          <w:rFonts w:hint="eastAsia" w:ascii="仿宋" w:hAnsi="仿宋" w:eastAsia="仿宋"/>
          <w:bCs/>
          <w:sz w:val="32"/>
          <w:szCs w:val="32"/>
        </w:rPr>
        <w:t>该项资金</w:t>
      </w:r>
      <w:r>
        <w:rPr>
          <w:rFonts w:ascii="仿宋" w:hAnsi="仿宋" w:eastAsia="仿宋"/>
          <w:bCs/>
          <w:sz w:val="32"/>
          <w:szCs w:val="32"/>
        </w:rPr>
        <w:t>主要用于</w:t>
      </w:r>
      <w:r>
        <w:rPr>
          <w:rFonts w:hint="eastAsia" w:ascii="仿宋" w:hAnsi="仿宋" w:eastAsia="仿宋"/>
          <w:bCs/>
          <w:sz w:val="32"/>
          <w:szCs w:val="32"/>
        </w:rPr>
        <w:t>住院医师规范化培训学员津贴、带教老师津贴</w:t>
      </w:r>
      <w:r>
        <w:rPr>
          <w:rFonts w:ascii="仿宋" w:hAnsi="仿宋" w:eastAsia="仿宋"/>
          <w:bCs/>
          <w:sz w:val="32"/>
          <w:szCs w:val="32"/>
        </w:rPr>
        <w:t xml:space="preserve">。 </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 xml:space="preserve">5.实施周期 </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自202</w:t>
      </w:r>
      <w:r>
        <w:rPr>
          <w:rFonts w:hint="eastAsia" w:ascii="仿宋" w:hAnsi="仿宋" w:eastAsia="仿宋"/>
          <w:bCs/>
          <w:sz w:val="32"/>
          <w:szCs w:val="32"/>
        </w:rPr>
        <w:t>4</w:t>
      </w:r>
      <w:r>
        <w:rPr>
          <w:rFonts w:ascii="仿宋" w:hAnsi="仿宋" w:eastAsia="仿宋"/>
          <w:bCs/>
          <w:sz w:val="32"/>
          <w:szCs w:val="32"/>
        </w:rPr>
        <w:t>年1月1日至202</w:t>
      </w:r>
      <w:r>
        <w:rPr>
          <w:rFonts w:hint="eastAsia" w:ascii="仿宋" w:hAnsi="仿宋" w:eastAsia="仿宋"/>
          <w:bCs/>
          <w:sz w:val="32"/>
          <w:szCs w:val="32"/>
        </w:rPr>
        <w:t>4</w:t>
      </w:r>
      <w:r>
        <w:rPr>
          <w:rFonts w:ascii="仿宋" w:hAnsi="仿宋" w:eastAsia="仿宋"/>
          <w:bCs/>
          <w:sz w:val="32"/>
          <w:szCs w:val="32"/>
        </w:rPr>
        <w:t xml:space="preserve">年12月31日。 </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 xml:space="preserve">6.年度预算安排 </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202</w:t>
      </w:r>
      <w:r>
        <w:rPr>
          <w:rFonts w:hint="eastAsia" w:ascii="仿宋" w:hAnsi="仿宋" w:eastAsia="仿宋"/>
          <w:bCs/>
          <w:sz w:val="32"/>
          <w:szCs w:val="32"/>
        </w:rPr>
        <w:t>4</w:t>
      </w:r>
      <w:r>
        <w:rPr>
          <w:rFonts w:ascii="仿宋" w:hAnsi="仿宋" w:eastAsia="仿宋"/>
          <w:bCs/>
          <w:sz w:val="32"/>
          <w:szCs w:val="32"/>
        </w:rPr>
        <w:t>年该项目预算</w:t>
      </w:r>
      <w:r>
        <w:rPr>
          <w:rFonts w:hint="eastAsia" w:ascii="仿宋" w:hAnsi="仿宋" w:eastAsia="仿宋"/>
          <w:bCs/>
          <w:sz w:val="32"/>
          <w:szCs w:val="32"/>
        </w:rPr>
        <w:t>296.76万</w:t>
      </w:r>
      <w:r>
        <w:rPr>
          <w:rFonts w:ascii="仿宋" w:hAnsi="仿宋" w:eastAsia="仿宋"/>
          <w:bCs/>
          <w:sz w:val="32"/>
          <w:szCs w:val="32"/>
        </w:rPr>
        <w:t>元。</w:t>
      </w:r>
    </w:p>
    <w:p>
      <w:pPr>
        <w:pBdr>
          <w:bottom w:val="single" w:color="FFFFFF" w:sz="4" w:space="30"/>
        </w:pBdr>
        <w:kinsoku w:val="0"/>
        <w:wordWrap w:val="0"/>
        <w:spacing w:line="560" w:lineRule="atLeast"/>
        <w:ind w:firstLine="640" w:firstLineChars="200"/>
        <w:rPr>
          <w:rFonts w:ascii="楷体" w:hAnsi="楷体" w:eastAsia="楷体"/>
          <w:bCs/>
          <w:sz w:val="32"/>
          <w:szCs w:val="32"/>
        </w:rPr>
      </w:pPr>
      <w:r>
        <w:rPr>
          <w:rFonts w:ascii="楷体" w:hAnsi="楷体" w:eastAsia="楷体"/>
          <w:bCs/>
          <w:sz w:val="32"/>
          <w:szCs w:val="32"/>
        </w:rPr>
        <w:t>（</w:t>
      </w:r>
      <w:r>
        <w:rPr>
          <w:rFonts w:hint="eastAsia" w:ascii="楷体" w:hAnsi="楷体" w:eastAsia="楷体"/>
          <w:bCs/>
          <w:sz w:val="32"/>
          <w:szCs w:val="32"/>
        </w:rPr>
        <w:t>四</w:t>
      </w:r>
      <w:r>
        <w:rPr>
          <w:rFonts w:ascii="楷体" w:hAnsi="楷体" w:eastAsia="楷体"/>
          <w:bCs/>
          <w:sz w:val="32"/>
          <w:szCs w:val="32"/>
        </w:rPr>
        <w:t>）</w:t>
      </w:r>
      <w:r>
        <w:rPr>
          <w:rFonts w:hint="eastAsia" w:ascii="楷体" w:hAnsi="楷体" w:eastAsia="楷体"/>
          <w:bCs/>
          <w:sz w:val="32"/>
          <w:szCs w:val="32"/>
        </w:rPr>
        <w:t>中央重大传染病防控经费</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 xml:space="preserve">1.项目概述 </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本项目主要用于</w:t>
      </w:r>
      <w:r>
        <w:rPr>
          <w:rFonts w:hint="eastAsia" w:ascii="仿宋" w:hAnsi="仿宋" w:eastAsia="仿宋"/>
          <w:bCs/>
          <w:sz w:val="32"/>
          <w:szCs w:val="32"/>
        </w:rPr>
        <w:t>2024</w:t>
      </w:r>
      <w:r>
        <w:rPr>
          <w:rFonts w:ascii="仿宋" w:hAnsi="仿宋" w:eastAsia="仿宋"/>
          <w:bCs/>
          <w:sz w:val="32"/>
          <w:szCs w:val="32"/>
        </w:rPr>
        <w:t>年</w:t>
      </w:r>
      <w:r>
        <w:rPr>
          <w:rFonts w:hint="eastAsia" w:ascii="仿宋" w:hAnsi="仿宋" w:eastAsia="仿宋"/>
          <w:bCs/>
          <w:sz w:val="32"/>
          <w:szCs w:val="32"/>
        </w:rPr>
        <w:t>支持扩大免疫规划、艾滋病防治、结核病防治、血吸虫与包虫病防治、精神卫生与慢性非传染性疾病防治、新冠肺炎等重点传染病监测工作。</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 xml:space="preserve">2.立项依据 </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hint="eastAsia" w:ascii="仿宋" w:hAnsi="仿宋" w:eastAsia="仿宋"/>
          <w:bCs/>
          <w:sz w:val="32"/>
          <w:szCs w:val="32"/>
        </w:rPr>
        <w:t>为了进一步做好重大传染病防控工作，支持扩大免疫规划、艾滋病防治、结核病防治、血吸虫与包虫病防治、精神卫生与慢性非传染性疾病防治、新冠肺炎等重点传染病监测工作，特申请该项资金。</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 xml:space="preserve">3.实施主体 </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hint="eastAsia" w:ascii="仿宋" w:hAnsi="仿宋" w:eastAsia="仿宋"/>
          <w:bCs/>
          <w:sz w:val="32"/>
          <w:szCs w:val="32"/>
        </w:rPr>
        <w:t>包头市中心医院</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 xml:space="preserve">4.实施方案 </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hint="eastAsia" w:ascii="仿宋" w:hAnsi="仿宋" w:eastAsia="仿宋"/>
          <w:bCs/>
          <w:sz w:val="32"/>
          <w:szCs w:val="32"/>
        </w:rPr>
        <w:t>该项资金用于扩大免疫规划、艾滋病防治、结核病防治、血吸虫与包虫病防治、精神卫生与慢性非传染性疾病防治、新冠肺炎等重点传染病监测工作。</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 xml:space="preserve">5.实施周期 </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自202</w:t>
      </w:r>
      <w:r>
        <w:rPr>
          <w:rFonts w:hint="eastAsia" w:ascii="仿宋" w:hAnsi="仿宋" w:eastAsia="仿宋"/>
          <w:bCs/>
          <w:sz w:val="32"/>
          <w:szCs w:val="32"/>
        </w:rPr>
        <w:t>4</w:t>
      </w:r>
      <w:r>
        <w:rPr>
          <w:rFonts w:ascii="仿宋" w:hAnsi="仿宋" w:eastAsia="仿宋"/>
          <w:bCs/>
          <w:sz w:val="32"/>
          <w:szCs w:val="32"/>
        </w:rPr>
        <w:t>年1月1日至202</w:t>
      </w:r>
      <w:r>
        <w:rPr>
          <w:rFonts w:hint="eastAsia" w:ascii="仿宋" w:hAnsi="仿宋" w:eastAsia="仿宋"/>
          <w:bCs/>
          <w:sz w:val="32"/>
          <w:szCs w:val="32"/>
        </w:rPr>
        <w:t>4</w:t>
      </w:r>
      <w:r>
        <w:rPr>
          <w:rFonts w:ascii="仿宋" w:hAnsi="仿宋" w:eastAsia="仿宋"/>
          <w:bCs/>
          <w:sz w:val="32"/>
          <w:szCs w:val="32"/>
        </w:rPr>
        <w:t xml:space="preserve">年12月31日。 </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 xml:space="preserve">6.年度预算安排 </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202</w:t>
      </w:r>
      <w:r>
        <w:rPr>
          <w:rFonts w:hint="eastAsia" w:ascii="仿宋" w:hAnsi="仿宋" w:eastAsia="仿宋"/>
          <w:bCs/>
          <w:sz w:val="32"/>
          <w:szCs w:val="32"/>
        </w:rPr>
        <w:t>4</w:t>
      </w:r>
      <w:r>
        <w:rPr>
          <w:rFonts w:ascii="仿宋" w:hAnsi="仿宋" w:eastAsia="仿宋"/>
          <w:bCs/>
          <w:sz w:val="32"/>
          <w:szCs w:val="32"/>
        </w:rPr>
        <w:t>年该项目预算</w:t>
      </w:r>
      <w:r>
        <w:rPr>
          <w:rFonts w:hint="eastAsia" w:ascii="仿宋" w:hAnsi="仿宋" w:eastAsia="仿宋"/>
          <w:bCs/>
          <w:sz w:val="32"/>
          <w:szCs w:val="32"/>
        </w:rPr>
        <w:t>8.5万</w:t>
      </w:r>
      <w:r>
        <w:rPr>
          <w:rFonts w:ascii="仿宋" w:hAnsi="仿宋" w:eastAsia="仿宋"/>
          <w:bCs/>
          <w:sz w:val="32"/>
          <w:szCs w:val="32"/>
        </w:rPr>
        <w:t>元。</w:t>
      </w:r>
    </w:p>
    <w:p>
      <w:pPr>
        <w:pBdr>
          <w:bottom w:val="single" w:color="FFFFFF" w:sz="4" w:space="30"/>
        </w:pBdr>
        <w:kinsoku w:val="0"/>
        <w:wordWrap w:val="0"/>
        <w:spacing w:line="560" w:lineRule="atLeast"/>
        <w:ind w:firstLine="640" w:firstLineChars="200"/>
        <w:rPr>
          <w:rFonts w:ascii="楷体" w:hAnsi="楷体" w:eastAsia="楷体"/>
          <w:bCs/>
          <w:sz w:val="32"/>
          <w:szCs w:val="32"/>
        </w:rPr>
      </w:pPr>
      <w:r>
        <w:rPr>
          <w:rFonts w:ascii="楷体" w:hAnsi="楷体" w:eastAsia="楷体"/>
          <w:bCs/>
          <w:sz w:val="32"/>
          <w:szCs w:val="32"/>
        </w:rPr>
        <w:t>（</w:t>
      </w:r>
      <w:r>
        <w:rPr>
          <w:rFonts w:hint="eastAsia" w:ascii="楷体" w:hAnsi="楷体" w:eastAsia="楷体"/>
          <w:bCs/>
          <w:sz w:val="32"/>
          <w:szCs w:val="32"/>
        </w:rPr>
        <w:t>五</w:t>
      </w:r>
      <w:r>
        <w:rPr>
          <w:rFonts w:ascii="楷体" w:hAnsi="楷体" w:eastAsia="楷体"/>
          <w:bCs/>
          <w:sz w:val="32"/>
          <w:szCs w:val="32"/>
        </w:rPr>
        <w:t>）</w:t>
      </w:r>
      <w:r>
        <w:rPr>
          <w:rFonts w:hint="eastAsia" w:ascii="楷体" w:hAnsi="楷体" w:eastAsia="楷体"/>
          <w:bCs/>
          <w:sz w:val="32"/>
          <w:szCs w:val="32"/>
        </w:rPr>
        <w:t>中心医院科技成果转化专项资金</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 xml:space="preserve">1.项目概述 </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本项目主要用于</w:t>
      </w:r>
      <w:r>
        <w:rPr>
          <w:rFonts w:hint="eastAsia" w:ascii="仿宋" w:hAnsi="仿宋" w:eastAsia="仿宋"/>
          <w:bCs/>
          <w:sz w:val="32"/>
          <w:szCs w:val="32"/>
        </w:rPr>
        <w:t>神经系统疾病临床医学研究中心建设。</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 xml:space="preserve">2.立项依据 </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hint="eastAsia" w:ascii="仿宋" w:hAnsi="仿宋" w:eastAsia="仿宋"/>
          <w:bCs/>
          <w:sz w:val="32"/>
          <w:szCs w:val="32"/>
        </w:rPr>
        <w:t>为了更好的组建内蒙古自治区神经系统疾病临床诊疗中心，打造高水平的神经系统疾病临床诊治中心，特此申请该项资金。</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 xml:space="preserve">3.实施主体 </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hint="eastAsia" w:ascii="仿宋" w:hAnsi="仿宋" w:eastAsia="仿宋"/>
          <w:bCs/>
          <w:sz w:val="32"/>
          <w:szCs w:val="32"/>
        </w:rPr>
        <w:t>包头市中心医院</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 xml:space="preserve">4.实施方案 </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hint="eastAsia" w:ascii="仿宋" w:hAnsi="仿宋" w:eastAsia="仿宋"/>
          <w:bCs/>
          <w:sz w:val="32"/>
          <w:szCs w:val="32"/>
        </w:rPr>
        <w:t>组建内蒙古自治区神经系统疾病临床诊疗中心，打造高水平的神经系统疾病临床诊治中心的各项支出。</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 xml:space="preserve">5.实施周期 </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自202</w:t>
      </w:r>
      <w:r>
        <w:rPr>
          <w:rFonts w:hint="eastAsia" w:ascii="仿宋" w:hAnsi="仿宋" w:eastAsia="仿宋"/>
          <w:bCs/>
          <w:sz w:val="32"/>
          <w:szCs w:val="32"/>
        </w:rPr>
        <w:t>3</w:t>
      </w:r>
      <w:r>
        <w:rPr>
          <w:rFonts w:ascii="仿宋" w:hAnsi="仿宋" w:eastAsia="仿宋"/>
          <w:bCs/>
          <w:sz w:val="32"/>
          <w:szCs w:val="32"/>
        </w:rPr>
        <w:t>年1月1日至202</w:t>
      </w:r>
      <w:r>
        <w:rPr>
          <w:rFonts w:hint="eastAsia" w:ascii="仿宋" w:hAnsi="仿宋" w:eastAsia="仿宋"/>
          <w:bCs/>
          <w:sz w:val="32"/>
          <w:szCs w:val="32"/>
        </w:rPr>
        <w:t>5</w:t>
      </w:r>
      <w:r>
        <w:rPr>
          <w:rFonts w:ascii="仿宋" w:hAnsi="仿宋" w:eastAsia="仿宋"/>
          <w:bCs/>
          <w:sz w:val="32"/>
          <w:szCs w:val="32"/>
        </w:rPr>
        <w:t xml:space="preserve">年12月31日。 </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 xml:space="preserve">6.年度预算安排 </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202</w:t>
      </w:r>
      <w:r>
        <w:rPr>
          <w:rFonts w:hint="eastAsia" w:ascii="仿宋" w:hAnsi="仿宋" w:eastAsia="仿宋"/>
          <w:bCs/>
          <w:sz w:val="32"/>
          <w:szCs w:val="32"/>
        </w:rPr>
        <w:t>4</w:t>
      </w:r>
      <w:r>
        <w:rPr>
          <w:rFonts w:ascii="仿宋" w:hAnsi="仿宋" w:eastAsia="仿宋"/>
          <w:bCs/>
          <w:sz w:val="32"/>
          <w:szCs w:val="32"/>
        </w:rPr>
        <w:t>年该项目预算</w:t>
      </w:r>
      <w:r>
        <w:rPr>
          <w:rFonts w:hint="eastAsia" w:ascii="仿宋" w:hAnsi="仿宋" w:eastAsia="仿宋"/>
          <w:bCs/>
          <w:sz w:val="32"/>
          <w:szCs w:val="32"/>
        </w:rPr>
        <w:t>50万</w:t>
      </w:r>
      <w:r>
        <w:rPr>
          <w:rFonts w:ascii="仿宋" w:hAnsi="仿宋" w:eastAsia="仿宋"/>
          <w:bCs/>
          <w:sz w:val="32"/>
          <w:szCs w:val="32"/>
        </w:rPr>
        <w:t>元。</w:t>
      </w:r>
    </w:p>
    <w:p>
      <w:pPr>
        <w:pBdr>
          <w:bottom w:val="single" w:color="FFFFFF" w:sz="4" w:space="30"/>
        </w:pBdr>
        <w:kinsoku w:val="0"/>
        <w:wordWrap w:val="0"/>
        <w:spacing w:line="560" w:lineRule="atLeast"/>
        <w:ind w:firstLine="640" w:firstLineChars="200"/>
        <w:rPr>
          <w:rFonts w:ascii="楷体" w:hAnsi="楷体" w:eastAsia="楷体"/>
          <w:bCs/>
          <w:sz w:val="32"/>
          <w:szCs w:val="32"/>
        </w:rPr>
      </w:pPr>
      <w:r>
        <w:rPr>
          <w:rFonts w:ascii="楷体" w:hAnsi="楷体" w:eastAsia="楷体"/>
          <w:bCs/>
          <w:sz w:val="32"/>
          <w:szCs w:val="32"/>
        </w:rPr>
        <w:t>（</w:t>
      </w:r>
      <w:r>
        <w:rPr>
          <w:rFonts w:hint="eastAsia" w:ascii="楷体" w:hAnsi="楷体" w:eastAsia="楷体"/>
          <w:bCs/>
          <w:sz w:val="32"/>
          <w:szCs w:val="32"/>
        </w:rPr>
        <w:t>六</w:t>
      </w:r>
      <w:r>
        <w:rPr>
          <w:rFonts w:ascii="楷体" w:hAnsi="楷体" w:eastAsia="楷体"/>
          <w:bCs/>
          <w:sz w:val="32"/>
          <w:szCs w:val="32"/>
        </w:rPr>
        <w:t>）</w:t>
      </w:r>
      <w:r>
        <w:rPr>
          <w:rFonts w:hint="eastAsia" w:ascii="楷体" w:hAnsi="楷体" w:eastAsia="楷体"/>
          <w:bCs/>
          <w:sz w:val="32"/>
          <w:szCs w:val="32"/>
        </w:rPr>
        <w:t>内蒙古自治区应用技术研究与开发资金</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 xml:space="preserve">1.项目概述 </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本项目主要用于</w:t>
      </w:r>
      <w:r>
        <w:rPr>
          <w:rFonts w:hint="eastAsia" w:ascii="仿宋" w:hAnsi="仿宋" w:eastAsia="仿宋"/>
          <w:bCs/>
          <w:sz w:val="32"/>
          <w:szCs w:val="32"/>
        </w:rPr>
        <w:t>刘晓林基于双能量</w:t>
      </w:r>
      <w:r>
        <w:rPr>
          <w:rFonts w:eastAsia="仿宋"/>
          <w:bCs/>
          <w:sz w:val="32"/>
          <w:szCs w:val="32"/>
        </w:rPr>
        <w:t>CT</w:t>
      </w:r>
      <w:r>
        <w:rPr>
          <w:rFonts w:hint="eastAsia" w:ascii="仿宋" w:hAnsi="仿宋" w:eastAsia="仿宋"/>
          <w:bCs/>
          <w:sz w:val="32"/>
          <w:szCs w:val="32"/>
        </w:rPr>
        <w:t>的</w:t>
      </w:r>
      <w:r>
        <w:rPr>
          <w:rFonts w:eastAsia="仿宋"/>
          <w:bCs/>
          <w:sz w:val="32"/>
          <w:szCs w:val="32"/>
        </w:rPr>
        <w:t>Radiomics</w:t>
      </w:r>
      <w:r>
        <w:rPr>
          <w:rFonts w:hint="eastAsia" w:ascii="仿宋" w:hAnsi="仿宋" w:eastAsia="仿宋"/>
          <w:bCs/>
          <w:sz w:val="32"/>
          <w:szCs w:val="32"/>
        </w:rPr>
        <w:t>对冠状动脉微循环障碍的诊断模型研究、刘佳慧辣椒素受体介导感觉有氧化应激在帕金森病中的作用及其机制、海燕探究胃饥饿素调节自噬</w:t>
      </w:r>
      <w:r>
        <w:rPr>
          <w:rFonts w:eastAsia="仿宋"/>
          <w:bCs/>
          <w:sz w:val="32"/>
          <w:szCs w:val="32"/>
        </w:rPr>
        <w:t>NLRP3</w:t>
      </w:r>
      <w:r>
        <w:rPr>
          <w:rFonts w:hint="eastAsia" w:ascii="仿宋" w:hAnsi="仿宋" w:eastAsia="仿宋"/>
          <w:bCs/>
          <w:sz w:val="32"/>
          <w:szCs w:val="32"/>
        </w:rPr>
        <w:t>炎症小体改善阿尔兹海默症。</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 xml:space="preserve">2.立项依据 </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hint="eastAsia" w:ascii="仿宋" w:hAnsi="仿宋" w:eastAsia="仿宋"/>
          <w:bCs/>
          <w:sz w:val="32"/>
          <w:szCs w:val="32"/>
        </w:rPr>
        <w:t>为了更好的进行基于双能量</w:t>
      </w:r>
      <w:r>
        <w:rPr>
          <w:rFonts w:eastAsia="仿宋"/>
          <w:bCs/>
          <w:sz w:val="32"/>
          <w:szCs w:val="32"/>
        </w:rPr>
        <w:t>CT</w:t>
      </w:r>
      <w:r>
        <w:rPr>
          <w:rFonts w:hint="eastAsia" w:ascii="仿宋" w:hAnsi="仿宋" w:eastAsia="仿宋"/>
          <w:bCs/>
          <w:sz w:val="32"/>
          <w:szCs w:val="32"/>
        </w:rPr>
        <w:t>的</w:t>
      </w:r>
      <w:r>
        <w:rPr>
          <w:rFonts w:eastAsia="仿宋"/>
          <w:bCs/>
          <w:sz w:val="32"/>
          <w:szCs w:val="32"/>
        </w:rPr>
        <w:t>Radiomics</w:t>
      </w:r>
      <w:r>
        <w:rPr>
          <w:rFonts w:hint="eastAsia" w:ascii="仿宋" w:hAnsi="仿宋" w:eastAsia="仿宋"/>
          <w:bCs/>
          <w:sz w:val="32"/>
          <w:szCs w:val="32"/>
        </w:rPr>
        <w:t>对冠状动脉微循环障碍的诊断模型研究、辣椒素受体介导感觉有氧化应激在帕金森病中的作用及其机制、探究胃饥饿素调节自噬</w:t>
      </w:r>
      <w:r>
        <w:rPr>
          <w:rFonts w:eastAsia="仿宋"/>
          <w:bCs/>
          <w:sz w:val="32"/>
          <w:szCs w:val="32"/>
        </w:rPr>
        <w:t>NLRP3</w:t>
      </w:r>
      <w:r>
        <w:rPr>
          <w:rFonts w:hint="eastAsia" w:ascii="仿宋" w:hAnsi="仿宋" w:eastAsia="仿宋"/>
          <w:bCs/>
          <w:sz w:val="32"/>
          <w:szCs w:val="32"/>
        </w:rPr>
        <w:t>炎症小体改善阿尔兹海默症项目的科学研究，特此申请该项资金。</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 xml:space="preserve">3.实施主体 </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hint="eastAsia" w:ascii="仿宋" w:hAnsi="仿宋" w:eastAsia="仿宋"/>
          <w:bCs/>
          <w:sz w:val="32"/>
          <w:szCs w:val="32"/>
        </w:rPr>
        <w:t>包头市中心医院</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 xml:space="preserve">4.实施方案 </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用于</w:t>
      </w:r>
      <w:r>
        <w:rPr>
          <w:rFonts w:hint="eastAsia" w:ascii="仿宋" w:hAnsi="仿宋" w:eastAsia="仿宋"/>
          <w:bCs/>
          <w:sz w:val="32"/>
          <w:szCs w:val="32"/>
        </w:rPr>
        <w:t>刘晓林基于双能量</w:t>
      </w:r>
      <w:r>
        <w:rPr>
          <w:rFonts w:eastAsia="仿宋"/>
          <w:bCs/>
          <w:sz w:val="32"/>
          <w:szCs w:val="32"/>
        </w:rPr>
        <w:t>CT</w:t>
      </w:r>
      <w:r>
        <w:rPr>
          <w:rFonts w:hint="eastAsia" w:ascii="仿宋" w:hAnsi="仿宋" w:eastAsia="仿宋"/>
          <w:bCs/>
          <w:sz w:val="32"/>
          <w:szCs w:val="32"/>
        </w:rPr>
        <w:t>的</w:t>
      </w:r>
      <w:r>
        <w:rPr>
          <w:rFonts w:eastAsia="仿宋"/>
          <w:bCs/>
          <w:sz w:val="32"/>
          <w:szCs w:val="32"/>
        </w:rPr>
        <w:t>Radiomics</w:t>
      </w:r>
      <w:r>
        <w:rPr>
          <w:rFonts w:hint="eastAsia" w:ascii="仿宋" w:hAnsi="仿宋" w:eastAsia="仿宋"/>
          <w:bCs/>
          <w:sz w:val="32"/>
          <w:szCs w:val="32"/>
        </w:rPr>
        <w:t>对冠状动脉微循环障碍的诊断模型研究、刘佳慧辣椒素受体介导感觉有氧化应激在帕金森病中的作用及其机制、海燕探究胃饥饿素调节自噬</w:t>
      </w:r>
      <w:r>
        <w:rPr>
          <w:rFonts w:eastAsia="仿宋"/>
          <w:bCs/>
          <w:sz w:val="32"/>
          <w:szCs w:val="32"/>
        </w:rPr>
        <w:t>NLRP3</w:t>
      </w:r>
      <w:r>
        <w:rPr>
          <w:rFonts w:hint="eastAsia" w:ascii="仿宋" w:hAnsi="仿宋" w:eastAsia="仿宋"/>
          <w:bCs/>
          <w:sz w:val="32"/>
          <w:szCs w:val="32"/>
        </w:rPr>
        <w:t>炎症小体改善阿尔兹海默症的科研支出。</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 xml:space="preserve">5.实施周期 </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自202</w:t>
      </w:r>
      <w:r>
        <w:rPr>
          <w:rFonts w:hint="eastAsia" w:ascii="仿宋" w:hAnsi="仿宋" w:eastAsia="仿宋"/>
          <w:bCs/>
          <w:sz w:val="32"/>
          <w:szCs w:val="32"/>
        </w:rPr>
        <w:t>2</w:t>
      </w:r>
      <w:r>
        <w:rPr>
          <w:rFonts w:ascii="仿宋" w:hAnsi="仿宋" w:eastAsia="仿宋"/>
          <w:bCs/>
          <w:sz w:val="32"/>
          <w:szCs w:val="32"/>
        </w:rPr>
        <w:t>年1月1日至202</w:t>
      </w:r>
      <w:r>
        <w:rPr>
          <w:rFonts w:hint="eastAsia" w:ascii="仿宋" w:hAnsi="仿宋" w:eastAsia="仿宋"/>
          <w:bCs/>
          <w:sz w:val="32"/>
          <w:szCs w:val="32"/>
        </w:rPr>
        <w:t>4</w:t>
      </w:r>
      <w:r>
        <w:rPr>
          <w:rFonts w:ascii="仿宋" w:hAnsi="仿宋" w:eastAsia="仿宋"/>
          <w:bCs/>
          <w:sz w:val="32"/>
          <w:szCs w:val="32"/>
        </w:rPr>
        <w:t xml:space="preserve">年12月31日。 </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 xml:space="preserve">6.年度预算安排 </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202</w:t>
      </w:r>
      <w:r>
        <w:rPr>
          <w:rFonts w:hint="eastAsia" w:ascii="仿宋" w:hAnsi="仿宋" w:eastAsia="仿宋"/>
          <w:bCs/>
          <w:sz w:val="32"/>
          <w:szCs w:val="32"/>
        </w:rPr>
        <w:t>4</w:t>
      </w:r>
      <w:r>
        <w:rPr>
          <w:rFonts w:ascii="仿宋" w:hAnsi="仿宋" w:eastAsia="仿宋"/>
          <w:bCs/>
          <w:sz w:val="32"/>
          <w:szCs w:val="32"/>
        </w:rPr>
        <w:t>年该项目预算</w:t>
      </w:r>
      <w:r>
        <w:rPr>
          <w:rFonts w:hint="eastAsia" w:ascii="仿宋" w:hAnsi="仿宋" w:eastAsia="仿宋"/>
          <w:bCs/>
          <w:sz w:val="32"/>
          <w:szCs w:val="32"/>
        </w:rPr>
        <w:t>19.49万</w:t>
      </w:r>
      <w:r>
        <w:rPr>
          <w:rFonts w:ascii="仿宋" w:hAnsi="仿宋" w:eastAsia="仿宋"/>
          <w:bCs/>
          <w:sz w:val="32"/>
          <w:szCs w:val="32"/>
        </w:rPr>
        <w:t>元。</w:t>
      </w:r>
    </w:p>
    <w:p>
      <w:pPr>
        <w:pBdr>
          <w:bottom w:val="single" w:color="FFFFFF" w:sz="4" w:space="30"/>
        </w:pBdr>
        <w:kinsoku w:val="0"/>
        <w:wordWrap w:val="0"/>
        <w:spacing w:line="560" w:lineRule="atLeast"/>
        <w:ind w:firstLine="640" w:firstLineChars="200"/>
        <w:rPr>
          <w:rFonts w:ascii="楷体" w:hAnsi="楷体" w:eastAsia="楷体"/>
          <w:bCs/>
          <w:sz w:val="32"/>
          <w:szCs w:val="32"/>
        </w:rPr>
      </w:pPr>
      <w:r>
        <w:rPr>
          <w:rFonts w:ascii="楷体" w:hAnsi="楷体" w:eastAsia="楷体"/>
          <w:bCs/>
          <w:sz w:val="32"/>
          <w:szCs w:val="32"/>
        </w:rPr>
        <w:t>（</w:t>
      </w:r>
      <w:r>
        <w:rPr>
          <w:rFonts w:hint="eastAsia" w:ascii="楷体" w:hAnsi="楷体" w:eastAsia="楷体"/>
          <w:bCs/>
          <w:sz w:val="32"/>
          <w:szCs w:val="32"/>
        </w:rPr>
        <w:t>七</w:t>
      </w:r>
      <w:r>
        <w:rPr>
          <w:rFonts w:ascii="楷体" w:hAnsi="楷体" w:eastAsia="楷体"/>
          <w:bCs/>
          <w:sz w:val="32"/>
          <w:szCs w:val="32"/>
        </w:rPr>
        <w:t>）</w:t>
      </w:r>
      <w:r>
        <w:rPr>
          <w:rFonts w:hint="eastAsia" w:ascii="楷体" w:hAnsi="楷体" w:eastAsia="楷体"/>
          <w:bCs/>
          <w:sz w:val="32"/>
          <w:szCs w:val="32"/>
        </w:rPr>
        <w:t>内蒙古自治区自然科学基金</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 xml:space="preserve">1.项目概述 </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本项目主要用于</w:t>
      </w:r>
      <w:r>
        <w:rPr>
          <w:rFonts w:hint="eastAsia" w:ascii="仿宋" w:hAnsi="仿宋" w:eastAsia="仿宋"/>
          <w:bCs/>
          <w:sz w:val="32"/>
          <w:szCs w:val="32"/>
        </w:rPr>
        <w:t>张强前列腺周围脂肪调节前列腺癌生物学行为的机制研究、王宝军</w:t>
      </w:r>
      <w:r>
        <w:rPr>
          <w:rFonts w:eastAsia="仿宋"/>
          <w:bCs/>
          <w:sz w:val="32"/>
          <w:szCs w:val="32"/>
        </w:rPr>
        <w:t>TLR4</w:t>
      </w:r>
      <w:r>
        <w:rPr>
          <w:rFonts w:hint="eastAsia" w:ascii="仿宋" w:hAnsi="仿宋" w:eastAsia="仿宋"/>
          <w:bCs/>
          <w:sz w:val="32"/>
          <w:szCs w:val="32"/>
        </w:rPr>
        <w:t>通路调控小胶质细胞极化在一氧化碳中毒迟发型脑病发病机制中的作用研究等科研项目。</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 xml:space="preserve">2.立项依据 </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hint="eastAsia" w:ascii="仿宋" w:hAnsi="仿宋" w:eastAsia="仿宋"/>
          <w:bCs/>
          <w:sz w:val="32"/>
          <w:szCs w:val="32"/>
        </w:rPr>
        <w:t>为了更好的进行对前列腺周围脂肪调节前列腺癌生物学行为的机制研究、</w:t>
      </w:r>
      <w:r>
        <w:rPr>
          <w:rFonts w:eastAsia="仿宋"/>
          <w:bCs/>
          <w:sz w:val="32"/>
          <w:szCs w:val="32"/>
        </w:rPr>
        <w:t>TLR4</w:t>
      </w:r>
      <w:r>
        <w:rPr>
          <w:rFonts w:hint="eastAsia" w:ascii="仿宋" w:hAnsi="仿宋" w:eastAsia="仿宋"/>
          <w:bCs/>
          <w:sz w:val="32"/>
          <w:szCs w:val="32"/>
        </w:rPr>
        <w:t>通路调控小胶质细胞极化在一氧化碳中毒迟发型脑病发病机制中的作用研究等科研项目进行研究，特此申请该资金。</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 xml:space="preserve">3.实施主体 </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hint="eastAsia" w:ascii="仿宋" w:hAnsi="仿宋" w:eastAsia="仿宋"/>
          <w:bCs/>
          <w:sz w:val="32"/>
          <w:szCs w:val="32"/>
        </w:rPr>
        <w:t>包头市中心医院</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 xml:space="preserve">4.实施方案 </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hint="eastAsia" w:ascii="仿宋" w:hAnsi="仿宋" w:eastAsia="仿宋"/>
          <w:bCs/>
          <w:sz w:val="32"/>
          <w:szCs w:val="32"/>
        </w:rPr>
        <w:t>前列腺周围脂肪调节前列腺癌生物学行为的机制研究、</w:t>
      </w:r>
      <w:r>
        <w:rPr>
          <w:rFonts w:eastAsia="仿宋"/>
          <w:bCs/>
          <w:sz w:val="32"/>
          <w:szCs w:val="32"/>
        </w:rPr>
        <w:t>TLR4</w:t>
      </w:r>
      <w:r>
        <w:rPr>
          <w:rFonts w:hint="eastAsia" w:ascii="仿宋" w:hAnsi="仿宋" w:eastAsia="仿宋"/>
          <w:bCs/>
          <w:sz w:val="32"/>
          <w:szCs w:val="32"/>
        </w:rPr>
        <w:t>通路调控小胶质细胞极化在一氧化碳中毒迟发型脑病发病机制中的作用研究等科研项目的各项支出。</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 xml:space="preserve">5.实施周期 </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自202</w:t>
      </w:r>
      <w:r>
        <w:rPr>
          <w:rFonts w:hint="eastAsia" w:ascii="仿宋" w:hAnsi="仿宋" w:eastAsia="仿宋"/>
          <w:bCs/>
          <w:sz w:val="32"/>
          <w:szCs w:val="32"/>
        </w:rPr>
        <w:t>2</w:t>
      </w:r>
      <w:r>
        <w:rPr>
          <w:rFonts w:ascii="仿宋" w:hAnsi="仿宋" w:eastAsia="仿宋"/>
          <w:bCs/>
          <w:sz w:val="32"/>
          <w:szCs w:val="32"/>
        </w:rPr>
        <w:t>年1月1日至202</w:t>
      </w:r>
      <w:r>
        <w:rPr>
          <w:rFonts w:hint="eastAsia" w:ascii="仿宋" w:hAnsi="仿宋" w:eastAsia="仿宋"/>
          <w:bCs/>
          <w:sz w:val="32"/>
          <w:szCs w:val="32"/>
        </w:rPr>
        <w:t>5</w:t>
      </w:r>
      <w:r>
        <w:rPr>
          <w:rFonts w:ascii="仿宋" w:hAnsi="仿宋" w:eastAsia="仿宋"/>
          <w:bCs/>
          <w:sz w:val="32"/>
          <w:szCs w:val="32"/>
        </w:rPr>
        <w:t xml:space="preserve">年12月31日。 </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 xml:space="preserve">6.年度预算安排 </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202</w:t>
      </w:r>
      <w:r>
        <w:rPr>
          <w:rFonts w:hint="eastAsia" w:ascii="仿宋" w:hAnsi="仿宋" w:eastAsia="仿宋"/>
          <w:bCs/>
          <w:sz w:val="32"/>
          <w:szCs w:val="32"/>
        </w:rPr>
        <w:t>4</w:t>
      </w:r>
      <w:r>
        <w:rPr>
          <w:rFonts w:ascii="仿宋" w:hAnsi="仿宋" w:eastAsia="仿宋"/>
          <w:bCs/>
          <w:sz w:val="32"/>
          <w:szCs w:val="32"/>
        </w:rPr>
        <w:t>年该项目预算</w:t>
      </w:r>
      <w:r>
        <w:rPr>
          <w:rFonts w:hint="eastAsia" w:ascii="仿宋" w:hAnsi="仿宋" w:eastAsia="仿宋"/>
          <w:bCs/>
          <w:sz w:val="32"/>
          <w:szCs w:val="32"/>
        </w:rPr>
        <w:t>33.18万</w:t>
      </w:r>
      <w:r>
        <w:rPr>
          <w:rFonts w:ascii="仿宋" w:hAnsi="仿宋" w:eastAsia="仿宋"/>
          <w:bCs/>
          <w:sz w:val="32"/>
          <w:szCs w:val="32"/>
        </w:rPr>
        <w:t>元。</w:t>
      </w:r>
    </w:p>
    <w:p>
      <w:pPr>
        <w:pBdr>
          <w:bottom w:val="single" w:color="FFFFFF" w:sz="4" w:space="30"/>
        </w:pBdr>
        <w:kinsoku w:val="0"/>
        <w:wordWrap w:val="0"/>
        <w:spacing w:line="560" w:lineRule="atLeast"/>
        <w:ind w:firstLine="640" w:firstLineChars="200"/>
        <w:rPr>
          <w:rFonts w:ascii="楷体" w:hAnsi="楷体" w:eastAsia="楷体"/>
          <w:bCs/>
          <w:sz w:val="32"/>
          <w:szCs w:val="32"/>
        </w:rPr>
      </w:pPr>
      <w:r>
        <w:rPr>
          <w:rFonts w:ascii="楷体" w:hAnsi="楷体" w:eastAsia="楷体"/>
          <w:bCs/>
          <w:sz w:val="32"/>
          <w:szCs w:val="32"/>
        </w:rPr>
        <w:t>（</w:t>
      </w:r>
      <w:r>
        <w:rPr>
          <w:rFonts w:hint="eastAsia" w:ascii="楷体" w:hAnsi="楷体" w:eastAsia="楷体"/>
          <w:bCs/>
          <w:sz w:val="32"/>
          <w:szCs w:val="32"/>
        </w:rPr>
        <w:t>八</w:t>
      </w:r>
      <w:r>
        <w:rPr>
          <w:rFonts w:ascii="楷体" w:hAnsi="楷体" w:eastAsia="楷体"/>
          <w:bCs/>
          <w:sz w:val="32"/>
          <w:szCs w:val="32"/>
        </w:rPr>
        <w:t>）</w:t>
      </w:r>
      <w:r>
        <w:rPr>
          <w:rFonts w:hint="eastAsia" w:ascii="楷体" w:hAnsi="楷体" w:eastAsia="楷体"/>
          <w:bCs/>
          <w:sz w:val="32"/>
          <w:szCs w:val="32"/>
        </w:rPr>
        <w:t>包头市中心医院科技创新引导奖励资金</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 xml:space="preserve">1.项目概述 </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本项目主要用于</w:t>
      </w:r>
      <w:r>
        <w:rPr>
          <w:rFonts w:eastAsia="仿宋"/>
          <w:bCs/>
          <w:sz w:val="32"/>
          <w:szCs w:val="32"/>
        </w:rPr>
        <w:t>TNK-tPA</w:t>
      </w:r>
      <w:r>
        <w:rPr>
          <w:rFonts w:hint="eastAsia" w:ascii="仿宋" w:hAnsi="仿宋" w:eastAsia="仿宋"/>
          <w:bCs/>
          <w:sz w:val="32"/>
          <w:szCs w:val="32"/>
        </w:rPr>
        <w:t>在急性缺血性卒中血管内治疗中的应用及基于影像组学预测血管等项目。</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 xml:space="preserve">2.立项依据 </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hint="eastAsia" w:ascii="仿宋" w:hAnsi="仿宋" w:eastAsia="仿宋"/>
          <w:bCs/>
          <w:sz w:val="32"/>
          <w:szCs w:val="32"/>
        </w:rPr>
        <w:t>为了更好的对</w:t>
      </w:r>
      <w:r>
        <w:rPr>
          <w:rFonts w:eastAsia="仿宋"/>
          <w:bCs/>
          <w:sz w:val="32"/>
          <w:szCs w:val="32"/>
        </w:rPr>
        <w:t>TNK-tPA</w:t>
      </w:r>
      <w:r>
        <w:rPr>
          <w:rFonts w:hint="eastAsia" w:ascii="仿宋" w:hAnsi="仿宋" w:eastAsia="仿宋"/>
          <w:bCs/>
          <w:sz w:val="32"/>
          <w:szCs w:val="32"/>
        </w:rPr>
        <w:t>在急性缺血性卒中血管内治疗中的应用及基于影像组学预测血管等科研项目进行研究，特此申请该项资金。</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 xml:space="preserve">3.实施主体 </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hint="eastAsia" w:ascii="仿宋" w:hAnsi="仿宋" w:eastAsia="仿宋"/>
          <w:bCs/>
          <w:sz w:val="32"/>
          <w:szCs w:val="32"/>
        </w:rPr>
        <w:t>包头市中心医院</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 xml:space="preserve">4.实施方案 </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eastAsia="仿宋"/>
          <w:bCs/>
          <w:sz w:val="32"/>
          <w:szCs w:val="32"/>
        </w:rPr>
        <w:t>TNK-tPA</w:t>
      </w:r>
      <w:r>
        <w:rPr>
          <w:rFonts w:hint="eastAsia" w:ascii="仿宋" w:hAnsi="仿宋" w:eastAsia="仿宋"/>
          <w:bCs/>
          <w:sz w:val="32"/>
          <w:szCs w:val="32"/>
        </w:rPr>
        <w:t>在急性缺血性卒中血管内治疗中的应用及基于影像组学预测血管等科研项目的各项支出。</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 xml:space="preserve">5.实施周期 </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自202</w:t>
      </w:r>
      <w:r>
        <w:rPr>
          <w:rFonts w:hint="eastAsia" w:ascii="仿宋" w:hAnsi="仿宋" w:eastAsia="仿宋"/>
          <w:bCs/>
          <w:sz w:val="32"/>
          <w:szCs w:val="32"/>
        </w:rPr>
        <w:t>3</w:t>
      </w:r>
      <w:r>
        <w:rPr>
          <w:rFonts w:ascii="仿宋" w:hAnsi="仿宋" w:eastAsia="仿宋"/>
          <w:bCs/>
          <w:sz w:val="32"/>
          <w:szCs w:val="32"/>
        </w:rPr>
        <w:t>年1月1日至202</w:t>
      </w:r>
      <w:r>
        <w:rPr>
          <w:rFonts w:hint="eastAsia" w:ascii="仿宋" w:hAnsi="仿宋" w:eastAsia="仿宋"/>
          <w:bCs/>
          <w:sz w:val="32"/>
          <w:szCs w:val="32"/>
        </w:rPr>
        <w:t>5</w:t>
      </w:r>
      <w:r>
        <w:rPr>
          <w:rFonts w:ascii="仿宋" w:hAnsi="仿宋" w:eastAsia="仿宋"/>
          <w:bCs/>
          <w:sz w:val="32"/>
          <w:szCs w:val="32"/>
        </w:rPr>
        <w:t xml:space="preserve">年12月31日。 </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 xml:space="preserve">6.年度预算安排 </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202</w:t>
      </w:r>
      <w:r>
        <w:rPr>
          <w:rFonts w:hint="eastAsia" w:ascii="仿宋" w:hAnsi="仿宋" w:eastAsia="仿宋"/>
          <w:bCs/>
          <w:sz w:val="32"/>
          <w:szCs w:val="32"/>
        </w:rPr>
        <w:t>4</w:t>
      </w:r>
      <w:r>
        <w:rPr>
          <w:rFonts w:ascii="仿宋" w:hAnsi="仿宋" w:eastAsia="仿宋"/>
          <w:bCs/>
          <w:sz w:val="32"/>
          <w:szCs w:val="32"/>
        </w:rPr>
        <w:t>年该项目预算</w:t>
      </w:r>
      <w:r>
        <w:rPr>
          <w:rFonts w:hint="eastAsia" w:ascii="仿宋" w:hAnsi="仿宋" w:eastAsia="仿宋"/>
          <w:bCs/>
          <w:sz w:val="32"/>
          <w:szCs w:val="32"/>
        </w:rPr>
        <w:t>39.61万</w:t>
      </w:r>
      <w:r>
        <w:rPr>
          <w:rFonts w:ascii="仿宋" w:hAnsi="仿宋" w:eastAsia="仿宋"/>
          <w:bCs/>
          <w:sz w:val="32"/>
          <w:szCs w:val="32"/>
        </w:rPr>
        <w:t>元。</w:t>
      </w:r>
    </w:p>
    <w:p>
      <w:pPr>
        <w:pBdr>
          <w:bottom w:val="single" w:color="FFFFFF" w:sz="4" w:space="30"/>
        </w:pBdr>
        <w:kinsoku w:val="0"/>
        <w:wordWrap w:val="0"/>
        <w:spacing w:line="560" w:lineRule="atLeast"/>
        <w:ind w:firstLine="640" w:firstLineChars="200"/>
        <w:rPr>
          <w:rFonts w:ascii="楷体" w:hAnsi="楷体" w:eastAsia="楷体"/>
          <w:bCs/>
          <w:sz w:val="32"/>
          <w:szCs w:val="32"/>
        </w:rPr>
      </w:pPr>
      <w:r>
        <w:rPr>
          <w:rFonts w:ascii="楷体" w:hAnsi="楷体" w:eastAsia="楷体"/>
          <w:bCs/>
          <w:sz w:val="32"/>
          <w:szCs w:val="32"/>
        </w:rPr>
        <w:t>（</w:t>
      </w:r>
      <w:r>
        <w:rPr>
          <w:rFonts w:hint="eastAsia" w:ascii="楷体" w:hAnsi="楷体" w:eastAsia="楷体"/>
          <w:bCs/>
          <w:sz w:val="32"/>
          <w:szCs w:val="32"/>
        </w:rPr>
        <w:t>九</w:t>
      </w:r>
      <w:r>
        <w:rPr>
          <w:rFonts w:ascii="楷体" w:hAnsi="楷体" w:eastAsia="楷体"/>
          <w:bCs/>
          <w:sz w:val="32"/>
          <w:szCs w:val="32"/>
        </w:rPr>
        <w:t>）</w:t>
      </w:r>
      <w:r>
        <w:rPr>
          <w:rFonts w:hint="eastAsia" w:ascii="楷体" w:hAnsi="楷体" w:eastAsia="楷体"/>
          <w:bCs/>
          <w:sz w:val="32"/>
          <w:szCs w:val="32"/>
        </w:rPr>
        <w:t>包头市新冠患者医疗费用财政补助资金</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 xml:space="preserve">1.项目概述 </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本项目主要用于</w:t>
      </w:r>
      <w:r>
        <w:rPr>
          <w:rFonts w:hint="eastAsia" w:ascii="仿宋" w:hAnsi="仿宋" w:eastAsia="仿宋"/>
          <w:bCs/>
          <w:sz w:val="32"/>
          <w:szCs w:val="32"/>
        </w:rPr>
        <w:t>包头市新冠患者医疗费用的补助。</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 xml:space="preserve">2.立项依据 </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hint="eastAsia" w:ascii="仿宋" w:hAnsi="仿宋" w:eastAsia="仿宋"/>
          <w:bCs/>
          <w:sz w:val="32"/>
          <w:szCs w:val="32"/>
        </w:rPr>
        <w:t>根据《内蒙古自治区财政厅 医疗保障局 卫生健康委关于切实做好“乙类乙管”后新冠患者救治经费保障工作的通知》，特此申请该项资金。</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 xml:space="preserve">3.实施主体 </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hint="eastAsia" w:ascii="仿宋" w:hAnsi="仿宋" w:eastAsia="仿宋"/>
          <w:bCs/>
          <w:sz w:val="32"/>
          <w:szCs w:val="32"/>
        </w:rPr>
        <w:t>包头市中心医院</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 xml:space="preserve">4.实施方案 </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hint="eastAsia" w:ascii="仿宋" w:hAnsi="仿宋" w:eastAsia="仿宋"/>
          <w:bCs/>
          <w:sz w:val="32"/>
          <w:szCs w:val="32"/>
        </w:rPr>
        <w:t>资金用于支持落实新冠患者救治费用财政补助政策，按规定据实结算。</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 xml:space="preserve">5.实施周期 </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自202</w:t>
      </w:r>
      <w:r>
        <w:rPr>
          <w:rFonts w:hint="eastAsia" w:ascii="仿宋" w:hAnsi="仿宋" w:eastAsia="仿宋"/>
          <w:bCs/>
          <w:sz w:val="32"/>
          <w:szCs w:val="32"/>
        </w:rPr>
        <w:t>2</w:t>
      </w:r>
      <w:r>
        <w:rPr>
          <w:rFonts w:ascii="仿宋" w:hAnsi="仿宋" w:eastAsia="仿宋"/>
          <w:bCs/>
          <w:sz w:val="32"/>
          <w:szCs w:val="32"/>
        </w:rPr>
        <w:t>年1月1日至202</w:t>
      </w:r>
      <w:r>
        <w:rPr>
          <w:rFonts w:hint="eastAsia" w:ascii="仿宋" w:hAnsi="仿宋" w:eastAsia="仿宋"/>
          <w:bCs/>
          <w:sz w:val="32"/>
          <w:szCs w:val="32"/>
        </w:rPr>
        <w:t>4</w:t>
      </w:r>
      <w:r>
        <w:rPr>
          <w:rFonts w:ascii="仿宋" w:hAnsi="仿宋" w:eastAsia="仿宋"/>
          <w:bCs/>
          <w:sz w:val="32"/>
          <w:szCs w:val="32"/>
        </w:rPr>
        <w:t xml:space="preserve">年12月31日。 </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 xml:space="preserve">6.年度预算安排 </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202</w:t>
      </w:r>
      <w:r>
        <w:rPr>
          <w:rFonts w:hint="eastAsia" w:ascii="仿宋" w:hAnsi="仿宋" w:eastAsia="仿宋"/>
          <w:bCs/>
          <w:sz w:val="32"/>
          <w:szCs w:val="32"/>
        </w:rPr>
        <w:t>4</w:t>
      </w:r>
      <w:r>
        <w:rPr>
          <w:rFonts w:ascii="仿宋" w:hAnsi="仿宋" w:eastAsia="仿宋"/>
          <w:bCs/>
          <w:sz w:val="32"/>
          <w:szCs w:val="32"/>
        </w:rPr>
        <w:t>年该项目预算</w:t>
      </w:r>
      <w:r>
        <w:rPr>
          <w:rFonts w:hint="eastAsia" w:ascii="仿宋" w:hAnsi="仿宋" w:eastAsia="仿宋"/>
          <w:bCs/>
          <w:sz w:val="32"/>
          <w:szCs w:val="32"/>
        </w:rPr>
        <w:t>24.92万</w:t>
      </w:r>
      <w:r>
        <w:rPr>
          <w:rFonts w:ascii="仿宋" w:hAnsi="仿宋" w:eastAsia="仿宋"/>
          <w:bCs/>
          <w:sz w:val="32"/>
          <w:szCs w:val="32"/>
        </w:rPr>
        <w:t>元。</w:t>
      </w:r>
    </w:p>
    <w:p>
      <w:pPr>
        <w:pBdr>
          <w:bottom w:val="single" w:color="FFFFFF" w:sz="4" w:space="30"/>
        </w:pBdr>
        <w:kinsoku w:val="0"/>
        <w:wordWrap w:val="0"/>
        <w:spacing w:line="560" w:lineRule="atLeast"/>
        <w:ind w:firstLine="640" w:firstLineChars="200"/>
        <w:rPr>
          <w:rFonts w:ascii="楷体" w:hAnsi="楷体" w:eastAsia="楷体"/>
          <w:bCs/>
          <w:sz w:val="32"/>
          <w:szCs w:val="32"/>
        </w:rPr>
      </w:pPr>
      <w:r>
        <w:rPr>
          <w:rFonts w:ascii="楷体" w:hAnsi="楷体" w:eastAsia="楷体"/>
          <w:bCs/>
          <w:sz w:val="32"/>
          <w:szCs w:val="32"/>
        </w:rPr>
        <w:t>（</w:t>
      </w:r>
      <w:r>
        <w:rPr>
          <w:rFonts w:hint="eastAsia" w:ascii="楷体" w:hAnsi="楷体" w:eastAsia="楷体"/>
          <w:bCs/>
          <w:sz w:val="32"/>
          <w:szCs w:val="32"/>
        </w:rPr>
        <w:t>十</w:t>
      </w:r>
      <w:r>
        <w:rPr>
          <w:rFonts w:ascii="楷体" w:hAnsi="楷体" w:eastAsia="楷体"/>
          <w:bCs/>
          <w:sz w:val="32"/>
          <w:szCs w:val="32"/>
        </w:rPr>
        <w:t>）</w:t>
      </w:r>
      <w:r>
        <w:rPr>
          <w:rFonts w:hint="eastAsia" w:ascii="楷体" w:hAnsi="楷体" w:eastAsia="楷体"/>
          <w:bCs/>
          <w:sz w:val="32"/>
          <w:szCs w:val="32"/>
        </w:rPr>
        <w:t>工程改造项目</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 xml:space="preserve">1.项目概述 </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本项目主要用于</w:t>
      </w:r>
      <w:r>
        <w:rPr>
          <w:rFonts w:hint="eastAsia" w:ascii="仿宋" w:hAnsi="仿宋" w:eastAsia="仿宋"/>
          <w:bCs/>
          <w:sz w:val="32"/>
          <w:szCs w:val="32"/>
        </w:rPr>
        <w:t>医院病房零星维修、静配中心改造等医院硬件环境建设。</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 xml:space="preserve">2.立项依据 </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hint="eastAsia" w:ascii="仿宋" w:hAnsi="仿宋" w:eastAsia="仿宋"/>
          <w:bCs/>
          <w:sz w:val="32"/>
          <w:szCs w:val="32"/>
        </w:rPr>
        <w:t>为了改善就医硬件环境，为患者提供更好的就医体验。</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 xml:space="preserve">3.实施主体 </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hint="eastAsia" w:ascii="仿宋" w:hAnsi="仿宋" w:eastAsia="仿宋"/>
          <w:bCs/>
          <w:sz w:val="32"/>
          <w:szCs w:val="32"/>
        </w:rPr>
        <w:t>包头市中心医院</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 xml:space="preserve">4.实施方案 </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hint="eastAsia" w:ascii="仿宋" w:hAnsi="仿宋" w:eastAsia="仿宋"/>
          <w:bCs/>
          <w:sz w:val="32"/>
          <w:szCs w:val="32"/>
        </w:rPr>
        <w:t>病房零星维修、静配中心改造等医院硬件环境建设的各项支出。</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 xml:space="preserve">5.实施周期 </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自202</w:t>
      </w:r>
      <w:r>
        <w:rPr>
          <w:rFonts w:hint="eastAsia" w:ascii="仿宋" w:hAnsi="仿宋" w:eastAsia="仿宋"/>
          <w:bCs/>
          <w:sz w:val="32"/>
          <w:szCs w:val="32"/>
        </w:rPr>
        <w:t>4</w:t>
      </w:r>
      <w:r>
        <w:rPr>
          <w:rFonts w:ascii="仿宋" w:hAnsi="仿宋" w:eastAsia="仿宋"/>
          <w:bCs/>
          <w:sz w:val="32"/>
          <w:szCs w:val="32"/>
        </w:rPr>
        <w:t>年1月1日至202</w:t>
      </w:r>
      <w:r>
        <w:rPr>
          <w:rFonts w:hint="eastAsia" w:ascii="仿宋" w:hAnsi="仿宋" w:eastAsia="仿宋"/>
          <w:bCs/>
          <w:sz w:val="32"/>
          <w:szCs w:val="32"/>
        </w:rPr>
        <w:t>4</w:t>
      </w:r>
      <w:r>
        <w:rPr>
          <w:rFonts w:ascii="仿宋" w:hAnsi="仿宋" w:eastAsia="仿宋"/>
          <w:bCs/>
          <w:sz w:val="32"/>
          <w:szCs w:val="32"/>
        </w:rPr>
        <w:t xml:space="preserve">年12月31日。 </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 xml:space="preserve">6.年度预算安排 </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202</w:t>
      </w:r>
      <w:r>
        <w:rPr>
          <w:rFonts w:hint="eastAsia" w:ascii="仿宋" w:hAnsi="仿宋" w:eastAsia="仿宋"/>
          <w:bCs/>
          <w:sz w:val="32"/>
          <w:szCs w:val="32"/>
        </w:rPr>
        <w:t>4</w:t>
      </w:r>
      <w:r>
        <w:rPr>
          <w:rFonts w:ascii="仿宋" w:hAnsi="仿宋" w:eastAsia="仿宋"/>
          <w:bCs/>
          <w:sz w:val="32"/>
          <w:szCs w:val="32"/>
        </w:rPr>
        <w:t>年该项目预算</w:t>
      </w:r>
      <w:r>
        <w:rPr>
          <w:rFonts w:hint="eastAsia" w:ascii="仿宋" w:hAnsi="仿宋" w:eastAsia="仿宋"/>
          <w:bCs/>
          <w:sz w:val="32"/>
          <w:szCs w:val="32"/>
        </w:rPr>
        <w:t>2100万</w:t>
      </w:r>
      <w:r>
        <w:rPr>
          <w:rFonts w:ascii="仿宋" w:hAnsi="仿宋" w:eastAsia="仿宋"/>
          <w:bCs/>
          <w:sz w:val="32"/>
          <w:szCs w:val="32"/>
        </w:rPr>
        <w:t>元。</w:t>
      </w:r>
    </w:p>
    <w:p>
      <w:pPr>
        <w:pBdr>
          <w:bottom w:val="single" w:color="FFFFFF" w:sz="4" w:space="30"/>
        </w:pBdr>
        <w:kinsoku w:val="0"/>
        <w:wordWrap w:val="0"/>
        <w:spacing w:line="560" w:lineRule="atLeast"/>
        <w:ind w:firstLine="640" w:firstLineChars="200"/>
        <w:rPr>
          <w:rFonts w:ascii="楷体" w:hAnsi="楷体" w:eastAsia="楷体"/>
          <w:bCs/>
          <w:sz w:val="32"/>
          <w:szCs w:val="32"/>
        </w:rPr>
      </w:pPr>
      <w:r>
        <w:rPr>
          <w:rFonts w:ascii="楷体" w:hAnsi="楷体" w:eastAsia="楷体"/>
          <w:bCs/>
          <w:sz w:val="32"/>
          <w:szCs w:val="32"/>
        </w:rPr>
        <w:t>（</w:t>
      </w:r>
      <w:r>
        <w:rPr>
          <w:rFonts w:hint="eastAsia" w:ascii="楷体" w:hAnsi="楷体" w:eastAsia="楷体"/>
          <w:bCs/>
          <w:sz w:val="32"/>
          <w:szCs w:val="32"/>
        </w:rPr>
        <w:t>十一</w:t>
      </w:r>
      <w:r>
        <w:rPr>
          <w:rFonts w:ascii="楷体" w:hAnsi="楷体" w:eastAsia="楷体"/>
          <w:bCs/>
          <w:sz w:val="32"/>
          <w:szCs w:val="32"/>
        </w:rPr>
        <w:t>）</w:t>
      </w:r>
      <w:r>
        <w:rPr>
          <w:rFonts w:hint="eastAsia" w:ascii="楷体" w:hAnsi="楷体" w:eastAsia="楷体"/>
          <w:bCs/>
          <w:sz w:val="32"/>
          <w:szCs w:val="32"/>
        </w:rPr>
        <w:t>服务类项目</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 xml:space="preserve">1.项目概述 </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本项目主要用于</w:t>
      </w:r>
      <w:r>
        <w:rPr>
          <w:rFonts w:hint="eastAsia" w:ascii="仿宋" w:hAnsi="仿宋" w:eastAsia="仿宋"/>
          <w:bCs/>
          <w:sz w:val="32"/>
          <w:szCs w:val="32"/>
        </w:rPr>
        <w:t>医院物业管理费、维修维护等日常运营服。</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 xml:space="preserve">2.立项依据 </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hint="eastAsia" w:ascii="仿宋" w:hAnsi="仿宋" w:eastAsia="仿宋"/>
          <w:bCs/>
          <w:sz w:val="32"/>
          <w:szCs w:val="32"/>
        </w:rPr>
        <w:t>保障医院高质量运转。</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 xml:space="preserve">3.实施主体 </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hint="eastAsia" w:ascii="仿宋" w:hAnsi="仿宋" w:eastAsia="仿宋"/>
          <w:bCs/>
          <w:sz w:val="32"/>
          <w:szCs w:val="32"/>
        </w:rPr>
        <w:t>包头市中心医院</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 xml:space="preserve">4.实施方案 </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hint="eastAsia" w:ascii="仿宋" w:hAnsi="仿宋" w:eastAsia="仿宋"/>
          <w:bCs/>
          <w:sz w:val="32"/>
          <w:szCs w:val="32"/>
        </w:rPr>
        <w:t>医院物业管理费、维修维护等日常运营服务的各项支出。</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 xml:space="preserve">5.实施周期 </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自202</w:t>
      </w:r>
      <w:r>
        <w:rPr>
          <w:rFonts w:hint="eastAsia" w:ascii="仿宋" w:hAnsi="仿宋" w:eastAsia="仿宋"/>
          <w:bCs/>
          <w:sz w:val="32"/>
          <w:szCs w:val="32"/>
        </w:rPr>
        <w:t>4</w:t>
      </w:r>
      <w:r>
        <w:rPr>
          <w:rFonts w:ascii="仿宋" w:hAnsi="仿宋" w:eastAsia="仿宋"/>
          <w:bCs/>
          <w:sz w:val="32"/>
          <w:szCs w:val="32"/>
        </w:rPr>
        <w:t>年1月1日至202</w:t>
      </w:r>
      <w:r>
        <w:rPr>
          <w:rFonts w:hint="eastAsia" w:ascii="仿宋" w:hAnsi="仿宋" w:eastAsia="仿宋"/>
          <w:bCs/>
          <w:sz w:val="32"/>
          <w:szCs w:val="32"/>
        </w:rPr>
        <w:t>4</w:t>
      </w:r>
      <w:r>
        <w:rPr>
          <w:rFonts w:ascii="仿宋" w:hAnsi="仿宋" w:eastAsia="仿宋"/>
          <w:bCs/>
          <w:sz w:val="32"/>
          <w:szCs w:val="32"/>
        </w:rPr>
        <w:t xml:space="preserve">年12月31日。 </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 xml:space="preserve">6.年度预算安排 </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202</w:t>
      </w:r>
      <w:r>
        <w:rPr>
          <w:rFonts w:hint="eastAsia" w:ascii="仿宋" w:hAnsi="仿宋" w:eastAsia="仿宋"/>
          <w:bCs/>
          <w:sz w:val="32"/>
          <w:szCs w:val="32"/>
        </w:rPr>
        <w:t>4</w:t>
      </w:r>
      <w:r>
        <w:rPr>
          <w:rFonts w:ascii="仿宋" w:hAnsi="仿宋" w:eastAsia="仿宋"/>
          <w:bCs/>
          <w:sz w:val="32"/>
          <w:szCs w:val="32"/>
        </w:rPr>
        <w:t>年该项目预算</w:t>
      </w:r>
      <w:r>
        <w:rPr>
          <w:rFonts w:hint="eastAsia" w:ascii="仿宋" w:hAnsi="仿宋" w:eastAsia="仿宋"/>
          <w:bCs/>
          <w:sz w:val="32"/>
          <w:szCs w:val="32"/>
        </w:rPr>
        <w:t>1740万</w:t>
      </w:r>
      <w:r>
        <w:rPr>
          <w:rFonts w:ascii="仿宋" w:hAnsi="仿宋" w:eastAsia="仿宋"/>
          <w:bCs/>
          <w:sz w:val="32"/>
          <w:szCs w:val="32"/>
        </w:rPr>
        <w:t>元。</w:t>
      </w:r>
    </w:p>
    <w:p>
      <w:pPr>
        <w:pBdr>
          <w:bottom w:val="single" w:color="FFFFFF" w:sz="4" w:space="30"/>
        </w:pBdr>
        <w:kinsoku w:val="0"/>
        <w:wordWrap w:val="0"/>
        <w:spacing w:line="560" w:lineRule="atLeast"/>
        <w:ind w:firstLine="640" w:firstLineChars="200"/>
        <w:rPr>
          <w:rFonts w:ascii="楷体" w:hAnsi="楷体" w:eastAsia="楷体"/>
          <w:bCs/>
          <w:sz w:val="32"/>
          <w:szCs w:val="32"/>
        </w:rPr>
      </w:pPr>
      <w:r>
        <w:rPr>
          <w:rFonts w:ascii="楷体" w:hAnsi="楷体" w:eastAsia="楷体"/>
          <w:bCs/>
          <w:sz w:val="32"/>
          <w:szCs w:val="32"/>
        </w:rPr>
        <w:t>（</w:t>
      </w:r>
      <w:r>
        <w:rPr>
          <w:rFonts w:hint="eastAsia" w:ascii="楷体" w:hAnsi="楷体" w:eastAsia="楷体"/>
          <w:bCs/>
          <w:sz w:val="32"/>
          <w:szCs w:val="32"/>
        </w:rPr>
        <w:t>十二</w:t>
      </w:r>
      <w:r>
        <w:rPr>
          <w:rFonts w:ascii="楷体" w:hAnsi="楷体" w:eastAsia="楷体"/>
          <w:bCs/>
          <w:sz w:val="32"/>
          <w:szCs w:val="32"/>
        </w:rPr>
        <w:t>）</w:t>
      </w:r>
      <w:r>
        <w:rPr>
          <w:rFonts w:hint="eastAsia" w:ascii="楷体" w:hAnsi="楷体" w:eastAsia="楷体"/>
          <w:bCs/>
          <w:sz w:val="32"/>
          <w:szCs w:val="32"/>
        </w:rPr>
        <w:t>编外人员工资性支出</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 xml:space="preserve">1.项目概述 </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本项目主要用</w:t>
      </w:r>
      <w:r>
        <w:rPr>
          <w:rFonts w:hint="eastAsia" w:ascii="仿宋" w:hAnsi="仿宋" w:eastAsia="仿宋"/>
          <w:bCs/>
          <w:sz w:val="32"/>
          <w:szCs w:val="32"/>
        </w:rPr>
        <w:t>于医院合同制职工的工资性支出、社会保障缴费支出。</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 xml:space="preserve">2.立项依据 </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hint="eastAsia" w:ascii="仿宋" w:hAnsi="仿宋" w:eastAsia="仿宋"/>
          <w:bCs/>
          <w:sz w:val="32"/>
          <w:szCs w:val="32"/>
        </w:rPr>
        <w:t>按照合同约定及工作量等标准及时、足额的发放，保障医院日常工作正常开展。</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 xml:space="preserve">3.实施主体 </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hint="eastAsia" w:ascii="仿宋" w:hAnsi="仿宋" w:eastAsia="仿宋"/>
          <w:bCs/>
          <w:sz w:val="32"/>
          <w:szCs w:val="32"/>
        </w:rPr>
        <w:t>包头市中心医院</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 xml:space="preserve">4.实施方案 </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hint="eastAsia" w:ascii="仿宋" w:hAnsi="仿宋" w:eastAsia="仿宋"/>
          <w:bCs/>
          <w:sz w:val="32"/>
          <w:szCs w:val="32"/>
        </w:rPr>
        <w:t>按有关规定和标准，足额、及时的发放和缴纳医院合同制职工的工资、社会保险和公积金。</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 xml:space="preserve">5.实施周期 </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自202</w:t>
      </w:r>
      <w:r>
        <w:rPr>
          <w:rFonts w:hint="eastAsia" w:ascii="仿宋" w:hAnsi="仿宋" w:eastAsia="仿宋"/>
          <w:bCs/>
          <w:sz w:val="32"/>
          <w:szCs w:val="32"/>
        </w:rPr>
        <w:t>4</w:t>
      </w:r>
      <w:r>
        <w:rPr>
          <w:rFonts w:ascii="仿宋" w:hAnsi="仿宋" w:eastAsia="仿宋"/>
          <w:bCs/>
          <w:sz w:val="32"/>
          <w:szCs w:val="32"/>
        </w:rPr>
        <w:t>年1月1日至202</w:t>
      </w:r>
      <w:r>
        <w:rPr>
          <w:rFonts w:hint="eastAsia" w:ascii="仿宋" w:hAnsi="仿宋" w:eastAsia="仿宋"/>
          <w:bCs/>
          <w:sz w:val="32"/>
          <w:szCs w:val="32"/>
        </w:rPr>
        <w:t>4</w:t>
      </w:r>
      <w:r>
        <w:rPr>
          <w:rFonts w:ascii="仿宋" w:hAnsi="仿宋" w:eastAsia="仿宋"/>
          <w:bCs/>
          <w:sz w:val="32"/>
          <w:szCs w:val="32"/>
        </w:rPr>
        <w:t xml:space="preserve">年12月31日。 </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 xml:space="preserve">6.年度预算安排 </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202</w:t>
      </w:r>
      <w:r>
        <w:rPr>
          <w:rFonts w:hint="eastAsia" w:ascii="仿宋" w:hAnsi="仿宋" w:eastAsia="仿宋"/>
          <w:bCs/>
          <w:sz w:val="32"/>
          <w:szCs w:val="32"/>
        </w:rPr>
        <w:t>4</w:t>
      </w:r>
      <w:r>
        <w:rPr>
          <w:rFonts w:ascii="仿宋" w:hAnsi="仿宋" w:eastAsia="仿宋"/>
          <w:bCs/>
          <w:sz w:val="32"/>
          <w:szCs w:val="32"/>
        </w:rPr>
        <w:t>年该项目预算</w:t>
      </w:r>
      <w:r>
        <w:rPr>
          <w:rFonts w:hint="eastAsia" w:ascii="仿宋" w:hAnsi="仿宋" w:eastAsia="仿宋"/>
          <w:bCs/>
          <w:sz w:val="32"/>
          <w:szCs w:val="32"/>
        </w:rPr>
        <w:t>13730万</w:t>
      </w:r>
      <w:r>
        <w:rPr>
          <w:rFonts w:ascii="仿宋" w:hAnsi="仿宋" w:eastAsia="仿宋"/>
          <w:bCs/>
          <w:sz w:val="32"/>
          <w:szCs w:val="32"/>
        </w:rPr>
        <w:t>元。</w:t>
      </w:r>
    </w:p>
    <w:p>
      <w:pPr>
        <w:pBdr>
          <w:bottom w:val="single" w:color="FFFFFF" w:sz="4" w:space="30"/>
        </w:pBdr>
        <w:kinsoku w:val="0"/>
        <w:wordWrap w:val="0"/>
        <w:spacing w:line="560" w:lineRule="atLeast"/>
        <w:ind w:firstLine="640" w:firstLineChars="200"/>
        <w:rPr>
          <w:rFonts w:ascii="楷体" w:hAnsi="楷体" w:eastAsia="楷体"/>
          <w:bCs/>
          <w:sz w:val="32"/>
          <w:szCs w:val="32"/>
        </w:rPr>
      </w:pPr>
      <w:r>
        <w:rPr>
          <w:rFonts w:ascii="楷体" w:hAnsi="楷体" w:eastAsia="楷体"/>
          <w:bCs/>
          <w:sz w:val="32"/>
          <w:szCs w:val="32"/>
        </w:rPr>
        <w:t>（</w:t>
      </w:r>
      <w:r>
        <w:rPr>
          <w:rFonts w:hint="eastAsia" w:ascii="楷体" w:hAnsi="楷体" w:eastAsia="楷体"/>
          <w:bCs/>
          <w:sz w:val="32"/>
          <w:szCs w:val="32"/>
        </w:rPr>
        <w:t>十三</w:t>
      </w:r>
      <w:r>
        <w:rPr>
          <w:rFonts w:ascii="楷体" w:hAnsi="楷体" w:eastAsia="楷体"/>
          <w:bCs/>
          <w:sz w:val="32"/>
          <w:szCs w:val="32"/>
        </w:rPr>
        <w:t>）</w:t>
      </w:r>
      <w:r>
        <w:rPr>
          <w:rFonts w:hint="eastAsia" w:ascii="楷体" w:hAnsi="楷体" w:eastAsia="楷体"/>
          <w:bCs/>
          <w:sz w:val="32"/>
          <w:szCs w:val="32"/>
        </w:rPr>
        <w:t>货物项目</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 xml:space="preserve">1.项目概述 </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本项目主要用</w:t>
      </w:r>
      <w:r>
        <w:rPr>
          <w:rFonts w:hint="eastAsia" w:ascii="仿宋" w:hAnsi="仿宋" w:eastAsia="仿宋"/>
          <w:bCs/>
          <w:sz w:val="32"/>
          <w:szCs w:val="32"/>
        </w:rPr>
        <w:t>于医院药品、设备、耗材等的购置。</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 xml:space="preserve">2.立项依据 </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hint="eastAsia" w:ascii="仿宋" w:hAnsi="仿宋" w:eastAsia="仿宋"/>
          <w:bCs/>
          <w:sz w:val="32"/>
          <w:szCs w:val="32"/>
        </w:rPr>
        <w:t>更好、更全面用于患者救治。</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 xml:space="preserve">3.实施主体 </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hint="eastAsia" w:ascii="仿宋" w:hAnsi="仿宋" w:eastAsia="仿宋"/>
          <w:bCs/>
          <w:sz w:val="32"/>
          <w:szCs w:val="32"/>
        </w:rPr>
        <w:t>包头市中心医院</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 xml:space="preserve">4.实施方案 </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hint="eastAsia" w:ascii="仿宋" w:hAnsi="仿宋" w:eastAsia="仿宋"/>
          <w:bCs/>
          <w:sz w:val="32"/>
          <w:szCs w:val="32"/>
        </w:rPr>
        <w:t>医院药品、设备、耗材等购置的各项支出。</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 xml:space="preserve">5.实施周期 </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自202</w:t>
      </w:r>
      <w:r>
        <w:rPr>
          <w:rFonts w:hint="eastAsia" w:ascii="仿宋" w:hAnsi="仿宋" w:eastAsia="仿宋"/>
          <w:bCs/>
          <w:sz w:val="32"/>
          <w:szCs w:val="32"/>
        </w:rPr>
        <w:t>4</w:t>
      </w:r>
      <w:r>
        <w:rPr>
          <w:rFonts w:ascii="仿宋" w:hAnsi="仿宋" w:eastAsia="仿宋"/>
          <w:bCs/>
          <w:sz w:val="32"/>
          <w:szCs w:val="32"/>
        </w:rPr>
        <w:t>年1月1日至202</w:t>
      </w:r>
      <w:r>
        <w:rPr>
          <w:rFonts w:hint="eastAsia" w:ascii="仿宋" w:hAnsi="仿宋" w:eastAsia="仿宋"/>
          <w:bCs/>
          <w:sz w:val="32"/>
          <w:szCs w:val="32"/>
        </w:rPr>
        <w:t>4</w:t>
      </w:r>
      <w:r>
        <w:rPr>
          <w:rFonts w:ascii="仿宋" w:hAnsi="仿宋" w:eastAsia="仿宋"/>
          <w:bCs/>
          <w:sz w:val="32"/>
          <w:szCs w:val="32"/>
        </w:rPr>
        <w:t xml:space="preserve">年12月31日。 </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 xml:space="preserve">6.年度预算安排 </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202</w:t>
      </w:r>
      <w:r>
        <w:rPr>
          <w:rFonts w:hint="eastAsia" w:ascii="仿宋" w:hAnsi="仿宋" w:eastAsia="仿宋"/>
          <w:bCs/>
          <w:sz w:val="32"/>
          <w:szCs w:val="32"/>
        </w:rPr>
        <w:t>4</w:t>
      </w:r>
      <w:r>
        <w:rPr>
          <w:rFonts w:ascii="仿宋" w:hAnsi="仿宋" w:eastAsia="仿宋"/>
          <w:bCs/>
          <w:sz w:val="32"/>
          <w:szCs w:val="32"/>
        </w:rPr>
        <w:t>年该项目预算</w:t>
      </w:r>
      <w:r>
        <w:rPr>
          <w:rFonts w:hint="eastAsia" w:ascii="仿宋" w:hAnsi="仿宋" w:eastAsia="仿宋"/>
          <w:bCs/>
          <w:sz w:val="32"/>
          <w:szCs w:val="32"/>
        </w:rPr>
        <w:t>13170万</w:t>
      </w:r>
      <w:r>
        <w:rPr>
          <w:rFonts w:ascii="仿宋" w:hAnsi="仿宋" w:eastAsia="仿宋"/>
          <w:bCs/>
          <w:sz w:val="32"/>
          <w:szCs w:val="32"/>
        </w:rPr>
        <w:t>元。</w:t>
      </w:r>
    </w:p>
    <w:p>
      <w:pPr>
        <w:pBdr>
          <w:bottom w:val="single" w:color="FFFFFF" w:sz="4" w:space="30"/>
        </w:pBdr>
        <w:kinsoku w:val="0"/>
        <w:wordWrap w:val="0"/>
        <w:spacing w:line="560" w:lineRule="atLeast"/>
        <w:ind w:firstLine="640" w:firstLineChars="200"/>
        <w:rPr>
          <w:rFonts w:ascii="楷体" w:hAnsi="楷体" w:eastAsia="楷体"/>
          <w:bCs/>
          <w:sz w:val="32"/>
          <w:szCs w:val="32"/>
        </w:rPr>
      </w:pPr>
      <w:r>
        <w:rPr>
          <w:rFonts w:ascii="楷体" w:hAnsi="楷体" w:eastAsia="楷体"/>
          <w:bCs/>
          <w:sz w:val="32"/>
          <w:szCs w:val="32"/>
        </w:rPr>
        <w:t>（</w:t>
      </w:r>
      <w:r>
        <w:rPr>
          <w:rFonts w:hint="eastAsia" w:ascii="楷体" w:hAnsi="楷体" w:eastAsia="楷体"/>
          <w:bCs/>
          <w:sz w:val="32"/>
          <w:szCs w:val="32"/>
        </w:rPr>
        <w:t>十四</w:t>
      </w:r>
      <w:r>
        <w:rPr>
          <w:rFonts w:ascii="楷体" w:hAnsi="楷体" w:eastAsia="楷体"/>
          <w:bCs/>
          <w:sz w:val="32"/>
          <w:szCs w:val="32"/>
        </w:rPr>
        <w:t>）</w:t>
      </w:r>
      <w:r>
        <w:rPr>
          <w:rFonts w:hint="eastAsia" w:ascii="楷体" w:hAnsi="楷体" w:eastAsia="楷体"/>
          <w:bCs/>
          <w:sz w:val="32"/>
          <w:szCs w:val="32"/>
        </w:rPr>
        <w:t>运营项目</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 xml:space="preserve">1.项目概述 </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本项目主要用</w:t>
      </w:r>
      <w:r>
        <w:rPr>
          <w:rFonts w:hint="eastAsia" w:ascii="仿宋" w:hAnsi="仿宋" w:eastAsia="仿宋"/>
          <w:bCs/>
          <w:sz w:val="32"/>
          <w:szCs w:val="32"/>
        </w:rPr>
        <w:t>于医院天然气、水、电等日常运营支出。</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 xml:space="preserve">2.立项依据 </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hint="eastAsia" w:ascii="仿宋" w:hAnsi="仿宋" w:eastAsia="仿宋"/>
          <w:bCs/>
          <w:sz w:val="32"/>
          <w:szCs w:val="32"/>
        </w:rPr>
        <w:t>为了改善就医硬件环境，为患者提供更好的就医体验。</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 xml:space="preserve">3.实施主体 </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hint="eastAsia" w:ascii="仿宋" w:hAnsi="仿宋" w:eastAsia="仿宋"/>
          <w:bCs/>
          <w:sz w:val="32"/>
          <w:szCs w:val="32"/>
        </w:rPr>
        <w:t>包头市中心医院</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 xml:space="preserve">4.实施方案 </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hint="eastAsia" w:ascii="仿宋" w:hAnsi="仿宋" w:eastAsia="仿宋"/>
          <w:bCs/>
          <w:sz w:val="32"/>
          <w:szCs w:val="32"/>
        </w:rPr>
        <w:t>医院天然气、水、电等日常运营支出。</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 xml:space="preserve">5.实施周期 </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自202</w:t>
      </w:r>
      <w:r>
        <w:rPr>
          <w:rFonts w:hint="eastAsia" w:ascii="仿宋" w:hAnsi="仿宋" w:eastAsia="仿宋"/>
          <w:bCs/>
          <w:sz w:val="32"/>
          <w:szCs w:val="32"/>
        </w:rPr>
        <w:t>4</w:t>
      </w:r>
      <w:r>
        <w:rPr>
          <w:rFonts w:ascii="仿宋" w:hAnsi="仿宋" w:eastAsia="仿宋"/>
          <w:bCs/>
          <w:sz w:val="32"/>
          <w:szCs w:val="32"/>
        </w:rPr>
        <w:t>年1月1日至202</w:t>
      </w:r>
      <w:r>
        <w:rPr>
          <w:rFonts w:hint="eastAsia" w:ascii="仿宋" w:hAnsi="仿宋" w:eastAsia="仿宋"/>
          <w:bCs/>
          <w:sz w:val="32"/>
          <w:szCs w:val="32"/>
        </w:rPr>
        <w:t>4</w:t>
      </w:r>
      <w:r>
        <w:rPr>
          <w:rFonts w:ascii="仿宋" w:hAnsi="仿宋" w:eastAsia="仿宋"/>
          <w:bCs/>
          <w:sz w:val="32"/>
          <w:szCs w:val="32"/>
        </w:rPr>
        <w:t xml:space="preserve">年12月31日。 </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 xml:space="preserve">6.年度预算安排 </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202</w:t>
      </w:r>
      <w:r>
        <w:rPr>
          <w:rFonts w:hint="eastAsia" w:ascii="仿宋" w:hAnsi="仿宋" w:eastAsia="仿宋"/>
          <w:bCs/>
          <w:sz w:val="32"/>
          <w:szCs w:val="32"/>
        </w:rPr>
        <w:t>4</w:t>
      </w:r>
      <w:r>
        <w:rPr>
          <w:rFonts w:ascii="仿宋" w:hAnsi="仿宋" w:eastAsia="仿宋"/>
          <w:bCs/>
          <w:sz w:val="32"/>
          <w:szCs w:val="32"/>
        </w:rPr>
        <w:t>年该项目预算</w:t>
      </w:r>
      <w:r>
        <w:rPr>
          <w:rFonts w:hint="eastAsia" w:ascii="仿宋" w:hAnsi="仿宋" w:eastAsia="仿宋"/>
          <w:bCs/>
          <w:sz w:val="32"/>
          <w:szCs w:val="32"/>
        </w:rPr>
        <w:t>93000万</w:t>
      </w:r>
      <w:r>
        <w:rPr>
          <w:rFonts w:ascii="仿宋" w:hAnsi="仿宋" w:eastAsia="仿宋"/>
          <w:bCs/>
          <w:sz w:val="32"/>
          <w:szCs w:val="32"/>
        </w:rPr>
        <w:t>元。</w:t>
      </w:r>
    </w:p>
    <w:p>
      <w:pPr>
        <w:pBdr>
          <w:bottom w:val="single" w:color="FFFFFF" w:sz="4" w:space="30"/>
        </w:pBdr>
        <w:kinsoku w:val="0"/>
        <w:wordWrap w:val="0"/>
        <w:spacing w:line="560" w:lineRule="atLeast"/>
        <w:ind w:firstLine="640" w:firstLineChars="200"/>
        <w:rPr>
          <w:rFonts w:ascii="楷体" w:hAnsi="楷体" w:eastAsia="楷体"/>
          <w:bCs/>
          <w:sz w:val="32"/>
          <w:szCs w:val="32"/>
        </w:rPr>
      </w:pPr>
      <w:r>
        <w:rPr>
          <w:rFonts w:ascii="楷体" w:hAnsi="楷体" w:eastAsia="楷体"/>
          <w:bCs/>
          <w:sz w:val="32"/>
          <w:szCs w:val="32"/>
        </w:rPr>
        <w:t>（</w:t>
      </w:r>
      <w:r>
        <w:rPr>
          <w:rFonts w:hint="eastAsia" w:ascii="楷体" w:hAnsi="楷体" w:eastAsia="楷体"/>
          <w:bCs/>
          <w:sz w:val="32"/>
          <w:szCs w:val="32"/>
        </w:rPr>
        <w:t>十五</w:t>
      </w:r>
      <w:r>
        <w:rPr>
          <w:rFonts w:ascii="楷体" w:hAnsi="楷体" w:eastAsia="楷体"/>
          <w:bCs/>
          <w:sz w:val="32"/>
          <w:szCs w:val="32"/>
        </w:rPr>
        <w:t>）</w:t>
      </w:r>
      <w:r>
        <w:rPr>
          <w:rFonts w:hint="eastAsia" w:ascii="楷体" w:hAnsi="楷体" w:eastAsia="楷体"/>
          <w:bCs/>
          <w:sz w:val="32"/>
          <w:szCs w:val="32"/>
        </w:rPr>
        <w:t>疫情防控补助资金</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 xml:space="preserve">1.项目概述 </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本项目主要用</w:t>
      </w:r>
      <w:r>
        <w:rPr>
          <w:rFonts w:hint="eastAsia" w:ascii="仿宋" w:hAnsi="仿宋" w:eastAsia="仿宋"/>
          <w:bCs/>
          <w:sz w:val="32"/>
          <w:szCs w:val="32"/>
        </w:rPr>
        <w:t>于医院重症医学科改造及设备购置。</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 xml:space="preserve">2.立项依据 </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hint="eastAsia" w:ascii="仿宋" w:hAnsi="仿宋" w:eastAsia="仿宋"/>
          <w:bCs/>
          <w:sz w:val="32"/>
          <w:szCs w:val="32"/>
        </w:rPr>
        <w:t>为了更好的救治新冠患者、改善患者救治环境。</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 xml:space="preserve">3.实施主体 </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hint="eastAsia" w:ascii="仿宋" w:hAnsi="仿宋" w:eastAsia="仿宋"/>
          <w:bCs/>
          <w:sz w:val="32"/>
          <w:szCs w:val="32"/>
        </w:rPr>
        <w:t>包头市中心医院</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 xml:space="preserve">4.实施方案 </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hint="eastAsia" w:ascii="仿宋" w:hAnsi="仿宋" w:eastAsia="仿宋"/>
          <w:bCs/>
          <w:sz w:val="32"/>
          <w:szCs w:val="32"/>
        </w:rPr>
        <w:t>医院重症医学科设备购置的支出。</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 xml:space="preserve">5.实施周期 </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自202</w:t>
      </w:r>
      <w:r>
        <w:rPr>
          <w:rFonts w:hint="eastAsia" w:ascii="仿宋" w:hAnsi="仿宋" w:eastAsia="仿宋"/>
          <w:bCs/>
          <w:sz w:val="32"/>
          <w:szCs w:val="32"/>
        </w:rPr>
        <w:t>3</w:t>
      </w:r>
      <w:r>
        <w:rPr>
          <w:rFonts w:ascii="仿宋" w:hAnsi="仿宋" w:eastAsia="仿宋"/>
          <w:bCs/>
          <w:sz w:val="32"/>
          <w:szCs w:val="32"/>
        </w:rPr>
        <w:t>年1月1日至202</w:t>
      </w:r>
      <w:r>
        <w:rPr>
          <w:rFonts w:hint="eastAsia" w:ascii="仿宋" w:hAnsi="仿宋" w:eastAsia="仿宋"/>
          <w:bCs/>
          <w:sz w:val="32"/>
          <w:szCs w:val="32"/>
        </w:rPr>
        <w:t>4</w:t>
      </w:r>
      <w:r>
        <w:rPr>
          <w:rFonts w:ascii="仿宋" w:hAnsi="仿宋" w:eastAsia="仿宋"/>
          <w:bCs/>
          <w:sz w:val="32"/>
          <w:szCs w:val="32"/>
        </w:rPr>
        <w:t xml:space="preserve">年12月31日。 </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 xml:space="preserve">6.年度预算安排 </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202</w:t>
      </w:r>
      <w:r>
        <w:rPr>
          <w:rFonts w:hint="eastAsia" w:ascii="仿宋" w:hAnsi="仿宋" w:eastAsia="仿宋"/>
          <w:bCs/>
          <w:sz w:val="32"/>
          <w:szCs w:val="32"/>
        </w:rPr>
        <w:t>4</w:t>
      </w:r>
      <w:r>
        <w:rPr>
          <w:rFonts w:ascii="仿宋" w:hAnsi="仿宋" w:eastAsia="仿宋"/>
          <w:bCs/>
          <w:sz w:val="32"/>
          <w:szCs w:val="32"/>
        </w:rPr>
        <w:t>年该项目预算</w:t>
      </w:r>
      <w:r>
        <w:rPr>
          <w:rFonts w:hint="eastAsia" w:ascii="仿宋" w:hAnsi="仿宋" w:eastAsia="仿宋"/>
          <w:bCs/>
          <w:sz w:val="32"/>
          <w:szCs w:val="32"/>
        </w:rPr>
        <w:t>49.41万</w:t>
      </w:r>
      <w:r>
        <w:rPr>
          <w:rFonts w:ascii="仿宋" w:hAnsi="仿宋" w:eastAsia="仿宋"/>
          <w:bCs/>
          <w:sz w:val="32"/>
          <w:szCs w:val="32"/>
        </w:rPr>
        <w:t>元。</w:t>
      </w:r>
    </w:p>
    <w:p>
      <w:pPr>
        <w:pBdr>
          <w:bottom w:val="single" w:color="FFFFFF" w:sz="4" w:space="30"/>
        </w:pBdr>
        <w:kinsoku w:val="0"/>
        <w:wordWrap w:val="0"/>
        <w:spacing w:line="560" w:lineRule="atLeast"/>
        <w:ind w:firstLine="640" w:firstLineChars="200"/>
        <w:rPr>
          <w:rFonts w:ascii="楷体" w:hAnsi="楷体" w:eastAsia="楷体"/>
          <w:bCs/>
          <w:sz w:val="32"/>
          <w:szCs w:val="32"/>
        </w:rPr>
      </w:pPr>
      <w:r>
        <w:rPr>
          <w:rFonts w:ascii="楷体" w:hAnsi="楷体" w:eastAsia="楷体"/>
          <w:bCs/>
          <w:sz w:val="32"/>
          <w:szCs w:val="32"/>
        </w:rPr>
        <w:t>（</w:t>
      </w:r>
      <w:r>
        <w:rPr>
          <w:rFonts w:hint="eastAsia" w:ascii="楷体" w:hAnsi="楷体" w:eastAsia="楷体"/>
          <w:bCs/>
          <w:sz w:val="32"/>
          <w:szCs w:val="32"/>
        </w:rPr>
        <w:t>十六</w:t>
      </w:r>
      <w:r>
        <w:rPr>
          <w:rFonts w:ascii="楷体" w:hAnsi="楷体" w:eastAsia="楷体"/>
          <w:bCs/>
          <w:sz w:val="32"/>
          <w:szCs w:val="32"/>
        </w:rPr>
        <w:t>）</w:t>
      </w:r>
      <w:r>
        <w:rPr>
          <w:rFonts w:hint="eastAsia" w:ascii="楷体" w:hAnsi="楷体" w:eastAsia="楷体"/>
          <w:bCs/>
          <w:sz w:val="32"/>
          <w:szCs w:val="32"/>
        </w:rPr>
        <w:t>相关医务人员临时性补助资金</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 xml:space="preserve">1.项目概述 </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hint="eastAsia" w:ascii="仿宋" w:hAnsi="仿宋" w:eastAsia="仿宋"/>
          <w:bCs/>
          <w:sz w:val="32"/>
          <w:szCs w:val="32"/>
        </w:rPr>
        <w:t>为体现党中央国务院对医务人员的关心关爱，对一线抗疫人员及参与疫情防控救治的相关医务人员的补助。</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 xml:space="preserve">2.立项依据 </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hint="eastAsia" w:ascii="仿宋" w:hAnsi="仿宋" w:eastAsia="仿宋"/>
          <w:bCs/>
          <w:sz w:val="32"/>
          <w:szCs w:val="32"/>
        </w:rPr>
        <w:t>为了切实落实好医务人员临时性补助政策，确保将关心关爱医务人员政策落实到实处，特此申请该项资金。</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 xml:space="preserve">3.实施主体 </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hint="eastAsia" w:ascii="仿宋" w:hAnsi="仿宋" w:eastAsia="仿宋"/>
          <w:bCs/>
          <w:sz w:val="32"/>
          <w:szCs w:val="32"/>
        </w:rPr>
        <w:t>包头市中心医院</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 xml:space="preserve">4.实施方案 </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hint="eastAsia" w:ascii="仿宋" w:hAnsi="仿宋" w:eastAsia="仿宋"/>
          <w:bCs/>
          <w:sz w:val="32"/>
          <w:szCs w:val="32"/>
        </w:rPr>
        <w:t>按照职责分工、人员范围、标准、工作天数精确无遗漏的发放。</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 xml:space="preserve">5.实施周期 </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自202</w:t>
      </w:r>
      <w:r>
        <w:rPr>
          <w:rFonts w:hint="eastAsia" w:ascii="仿宋" w:hAnsi="仿宋" w:eastAsia="仿宋"/>
          <w:bCs/>
          <w:sz w:val="32"/>
          <w:szCs w:val="32"/>
        </w:rPr>
        <w:t>2</w:t>
      </w:r>
      <w:r>
        <w:rPr>
          <w:rFonts w:ascii="仿宋" w:hAnsi="仿宋" w:eastAsia="仿宋"/>
          <w:bCs/>
          <w:sz w:val="32"/>
          <w:szCs w:val="32"/>
        </w:rPr>
        <w:t>年1月1日至202</w:t>
      </w:r>
      <w:r>
        <w:rPr>
          <w:rFonts w:hint="eastAsia" w:ascii="仿宋" w:hAnsi="仿宋" w:eastAsia="仿宋"/>
          <w:bCs/>
          <w:sz w:val="32"/>
          <w:szCs w:val="32"/>
        </w:rPr>
        <w:t>4</w:t>
      </w:r>
      <w:r>
        <w:rPr>
          <w:rFonts w:ascii="仿宋" w:hAnsi="仿宋" w:eastAsia="仿宋"/>
          <w:bCs/>
          <w:sz w:val="32"/>
          <w:szCs w:val="32"/>
        </w:rPr>
        <w:t xml:space="preserve">年12月31日。 </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 xml:space="preserve">6.年度预算安排 </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202</w:t>
      </w:r>
      <w:r>
        <w:rPr>
          <w:rFonts w:hint="eastAsia" w:ascii="仿宋" w:hAnsi="仿宋" w:eastAsia="仿宋"/>
          <w:bCs/>
          <w:sz w:val="32"/>
          <w:szCs w:val="32"/>
        </w:rPr>
        <w:t>4</w:t>
      </w:r>
      <w:r>
        <w:rPr>
          <w:rFonts w:ascii="仿宋" w:hAnsi="仿宋" w:eastAsia="仿宋"/>
          <w:bCs/>
          <w:sz w:val="32"/>
          <w:szCs w:val="32"/>
        </w:rPr>
        <w:t>年该项目预算</w:t>
      </w:r>
      <w:r>
        <w:rPr>
          <w:rFonts w:hint="eastAsia" w:ascii="仿宋" w:hAnsi="仿宋" w:eastAsia="仿宋"/>
          <w:bCs/>
          <w:sz w:val="32"/>
          <w:szCs w:val="32"/>
        </w:rPr>
        <w:t>5.83万</w:t>
      </w:r>
      <w:r>
        <w:rPr>
          <w:rFonts w:ascii="仿宋" w:hAnsi="仿宋" w:eastAsia="仿宋"/>
          <w:bCs/>
          <w:sz w:val="32"/>
          <w:szCs w:val="32"/>
        </w:rPr>
        <w:t>元。</w:t>
      </w:r>
    </w:p>
    <w:p>
      <w:pPr>
        <w:pBdr>
          <w:bottom w:val="single" w:color="FFFFFF" w:sz="4" w:space="30"/>
        </w:pBdr>
        <w:kinsoku w:val="0"/>
        <w:wordWrap w:val="0"/>
        <w:spacing w:line="560" w:lineRule="atLeast"/>
        <w:ind w:firstLine="640" w:firstLineChars="200"/>
        <w:rPr>
          <w:rFonts w:ascii="楷体" w:hAnsi="楷体" w:eastAsia="楷体"/>
          <w:bCs/>
          <w:sz w:val="32"/>
          <w:szCs w:val="32"/>
        </w:rPr>
      </w:pPr>
      <w:r>
        <w:rPr>
          <w:rFonts w:ascii="楷体" w:hAnsi="楷体" w:eastAsia="楷体"/>
          <w:bCs/>
          <w:sz w:val="32"/>
          <w:szCs w:val="32"/>
        </w:rPr>
        <w:t>（</w:t>
      </w:r>
      <w:r>
        <w:rPr>
          <w:rFonts w:hint="eastAsia" w:ascii="楷体" w:hAnsi="楷体" w:eastAsia="楷体"/>
          <w:bCs/>
          <w:sz w:val="32"/>
          <w:szCs w:val="32"/>
        </w:rPr>
        <w:t>十七</w:t>
      </w:r>
      <w:r>
        <w:rPr>
          <w:rFonts w:ascii="楷体" w:hAnsi="楷体" w:eastAsia="楷体"/>
          <w:bCs/>
          <w:sz w:val="32"/>
          <w:szCs w:val="32"/>
        </w:rPr>
        <w:t>）</w:t>
      </w:r>
      <w:r>
        <w:rPr>
          <w:rFonts w:hint="eastAsia" w:ascii="楷体" w:hAnsi="楷体" w:eastAsia="楷体"/>
          <w:bCs/>
          <w:sz w:val="32"/>
          <w:szCs w:val="32"/>
        </w:rPr>
        <w:t>自治区中医（蒙医）能力建设和学术继承补助资金</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 xml:space="preserve">1.项目概述 </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本项目主要用于</w:t>
      </w:r>
      <w:r>
        <w:rPr>
          <w:rFonts w:hint="eastAsia" w:ascii="仿宋" w:hAnsi="仿宋" w:eastAsia="仿宋"/>
          <w:bCs/>
          <w:sz w:val="32"/>
          <w:szCs w:val="32"/>
        </w:rPr>
        <w:t>2024</w:t>
      </w:r>
      <w:r>
        <w:rPr>
          <w:rFonts w:ascii="仿宋" w:hAnsi="仿宋" w:eastAsia="仿宋"/>
          <w:bCs/>
          <w:sz w:val="32"/>
          <w:szCs w:val="32"/>
        </w:rPr>
        <w:t>年</w:t>
      </w:r>
      <w:r>
        <w:rPr>
          <w:rFonts w:hint="eastAsia" w:ascii="仿宋" w:hAnsi="仿宋" w:eastAsia="仿宋"/>
          <w:bCs/>
          <w:sz w:val="32"/>
          <w:szCs w:val="32"/>
        </w:rPr>
        <w:t>开展中医（蒙医）传承与人才培养、促进中医（蒙医）服务能力提升和特色技术支持等。</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 xml:space="preserve">2.立项依据 </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hint="eastAsia" w:ascii="仿宋" w:hAnsi="仿宋" w:eastAsia="仿宋"/>
          <w:bCs/>
          <w:sz w:val="32"/>
          <w:szCs w:val="32"/>
        </w:rPr>
        <w:t>为了促进中医（蒙医）传承与人才培养、加强对中医（蒙医）服务能力提升和特色技术支持，特申请该项资金。</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 xml:space="preserve">3.实施主体 </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hint="eastAsia" w:ascii="仿宋" w:hAnsi="仿宋" w:eastAsia="仿宋"/>
          <w:bCs/>
          <w:sz w:val="32"/>
          <w:szCs w:val="32"/>
        </w:rPr>
        <w:t>包头市中心医院</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 xml:space="preserve">4.实施方案 </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根据财政批复，</w:t>
      </w:r>
      <w:r>
        <w:rPr>
          <w:rFonts w:hint="eastAsia" w:ascii="仿宋" w:hAnsi="仿宋" w:eastAsia="仿宋"/>
          <w:bCs/>
          <w:sz w:val="32"/>
          <w:szCs w:val="32"/>
        </w:rPr>
        <w:t>该项资金</w:t>
      </w:r>
      <w:r>
        <w:rPr>
          <w:rFonts w:ascii="仿宋" w:hAnsi="仿宋" w:eastAsia="仿宋"/>
          <w:bCs/>
          <w:sz w:val="32"/>
          <w:szCs w:val="32"/>
        </w:rPr>
        <w:t>主要用于</w:t>
      </w:r>
      <w:r>
        <w:rPr>
          <w:rFonts w:hint="eastAsia" w:ascii="仿宋" w:hAnsi="仿宋" w:eastAsia="仿宋"/>
          <w:bCs/>
          <w:sz w:val="32"/>
          <w:szCs w:val="32"/>
        </w:rPr>
        <w:t>继承教学、带教津贴和继承工作管理</w:t>
      </w:r>
      <w:r>
        <w:rPr>
          <w:rFonts w:ascii="仿宋" w:hAnsi="仿宋" w:eastAsia="仿宋"/>
          <w:bCs/>
          <w:sz w:val="32"/>
          <w:szCs w:val="32"/>
        </w:rPr>
        <w:t xml:space="preserve">。 </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 xml:space="preserve">5.实施周期 </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自202</w:t>
      </w:r>
      <w:r>
        <w:rPr>
          <w:rFonts w:hint="eastAsia" w:ascii="仿宋" w:hAnsi="仿宋" w:eastAsia="仿宋"/>
          <w:bCs/>
          <w:sz w:val="32"/>
          <w:szCs w:val="32"/>
        </w:rPr>
        <w:t>3</w:t>
      </w:r>
      <w:r>
        <w:rPr>
          <w:rFonts w:ascii="仿宋" w:hAnsi="仿宋" w:eastAsia="仿宋"/>
          <w:bCs/>
          <w:sz w:val="32"/>
          <w:szCs w:val="32"/>
        </w:rPr>
        <w:t>年1月1日至202</w:t>
      </w:r>
      <w:r>
        <w:rPr>
          <w:rFonts w:hint="eastAsia" w:ascii="仿宋" w:hAnsi="仿宋" w:eastAsia="仿宋"/>
          <w:bCs/>
          <w:sz w:val="32"/>
          <w:szCs w:val="32"/>
        </w:rPr>
        <w:t>4</w:t>
      </w:r>
      <w:r>
        <w:rPr>
          <w:rFonts w:ascii="仿宋" w:hAnsi="仿宋" w:eastAsia="仿宋"/>
          <w:bCs/>
          <w:sz w:val="32"/>
          <w:szCs w:val="32"/>
        </w:rPr>
        <w:t xml:space="preserve">年12月31日。 </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 xml:space="preserve">6.年度预算安排 </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202</w:t>
      </w:r>
      <w:r>
        <w:rPr>
          <w:rFonts w:hint="eastAsia" w:ascii="仿宋" w:hAnsi="仿宋" w:eastAsia="仿宋"/>
          <w:bCs/>
          <w:sz w:val="32"/>
          <w:szCs w:val="32"/>
        </w:rPr>
        <w:t>4</w:t>
      </w:r>
      <w:r>
        <w:rPr>
          <w:rFonts w:ascii="仿宋" w:hAnsi="仿宋" w:eastAsia="仿宋"/>
          <w:bCs/>
          <w:sz w:val="32"/>
          <w:szCs w:val="32"/>
        </w:rPr>
        <w:t>年该项目预算</w:t>
      </w:r>
      <w:r>
        <w:rPr>
          <w:rFonts w:hint="eastAsia" w:ascii="仿宋" w:hAnsi="仿宋" w:eastAsia="仿宋"/>
          <w:bCs/>
          <w:sz w:val="32"/>
          <w:szCs w:val="32"/>
        </w:rPr>
        <w:t>0.95万</w:t>
      </w:r>
      <w:r>
        <w:rPr>
          <w:rFonts w:ascii="仿宋" w:hAnsi="仿宋" w:eastAsia="仿宋"/>
          <w:bCs/>
          <w:sz w:val="32"/>
          <w:szCs w:val="32"/>
        </w:rPr>
        <w:t>元。</w:t>
      </w:r>
    </w:p>
    <w:p>
      <w:pPr>
        <w:pBdr>
          <w:bottom w:val="single" w:color="FFFFFF" w:sz="4" w:space="30"/>
        </w:pBdr>
        <w:kinsoku w:val="0"/>
        <w:wordWrap w:val="0"/>
        <w:spacing w:line="560" w:lineRule="atLeast"/>
        <w:ind w:firstLine="640" w:firstLineChars="200"/>
        <w:rPr>
          <w:rFonts w:ascii="楷体" w:hAnsi="楷体" w:eastAsia="楷体"/>
          <w:bCs/>
          <w:sz w:val="32"/>
          <w:szCs w:val="32"/>
        </w:rPr>
      </w:pPr>
      <w:r>
        <w:rPr>
          <w:rFonts w:ascii="楷体" w:hAnsi="楷体" w:eastAsia="楷体"/>
          <w:bCs/>
          <w:sz w:val="32"/>
          <w:szCs w:val="32"/>
        </w:rPr>
        <w:t>（</w:t>
      </w:r>
      <w:r>
        <w:rPr>
          <w:rFonts w:hint="eastAsia" w:ascii="楷体" w:hAnsi="楷体" w:eastAsia="楷体"/>
          <w:bCs/>
          <w:sz w:val="32"/>
          <w:szCs w:val="32"/>
        </w:rPr>
        <w:t>十八</w:t>
      </w:r>
      <w:r>
        <w:rPr>
          <w:rFonts w:ascii="楷体" w:hAnsi="楷体" w:eastAsia="楷体"/>
          <w:bCs/>
          <w:sz w:val="32"/>
          <w:szCs w:val="32"/>
        </w:rPr>
        <w:t>）</w:t>
      </w:r>
      <w:r>
        <w:rPr>
          <w:rFonts w:hint="eastAsia" w:ascii="楷体" w:hAnsi="楷体" w:eastAsia="楷体"/>
          <w:bCs/>
          <w:sz w:val="32"/>
          <w:szCs w:val="32"/>
        </w:rPr>
        <w:t>自治区卫生健康人才培养补助资金</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 xml:space="preserve">1.项目概述 </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本项目主要用于</w:t>
      </w:r>
      <w:r>
        <w:rPr>
          <w:rFonts w:hint="eastAsia" w:ascii="仿宋" w:hAnsi="仿宋" w:eastAsia="仿宋"/>
          <w:bCs/>
          <w:sz w:val="32"/>
          <w:szCs w:val="32"/>
        </w:rPr>
        <w:t>2024</w:t>
      </w:r>
      <w:r>
        <w:rPr>
          <w:rFonts w:ascii="仿宋" w:hAnsi="仿宋" w:eastAsia="仿宋"/>
          <w:bCs/>
          <w:sz w:val="32"/>
          <w:szCs w:val="32"/>
        </w:rPr>
        <w:t>年</w:t>
      </w:r>
      <w:r>
        <w:rPr>
          <w:rFonts w:hint="eastAsia" w:ascii="仿宋" w:hAnsi="仿宋" w:eastAsia="仿宋"/>
          <w:bCs/>
          <w:sz w:val="32"/>
          <w:szCs w:val="32"/>
        </w:rPr>
        <w:t>开展卫生健康人才培养。</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 xml:space="preserve">2.立项依据 </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hint="eastAsia" w:ascii="仿宋" w:hAnsi="仿宋" w:eastAsia="仿宋"/>
          <w:bCs/>
          <w:sz w:val="32"/>
          <w:szCs w:val="32"/>
        </w:rPr>
        <w:t>为了支持卫生健康人才培养工作，提高医疗卫生工作质量，强化卫生人才队伍建设，特申请该项资金。</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 xml:space="preserve">3.实施主体 </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hint="eastAsia" w:ascii="仿宋" w:hAnsi="仿宋" w:eastAsia="仿宋"/>
          <w:bCs/>
          <w:sz w:val="32"/>
          <w:szCs w:val="32"/>
        </w:rPr>
        <w:t>包头市中心医院</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 xml:space="preserve">4.实施方案 </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根据财政批复，</w:t>
      </w:r>
      <w:r>
        <w:rPr>
          <w:rFonts w:hint="eastAsia" w:ascii="仿宋" w:hAnsi="仿宋" w:eastAsia="仿宋"/>
          <w:bCs/>
          <w:sz w:val="32"/>
          <w:szCs w:val="32"/>
        </w:rPr>
        <w:t>该项资金</w:t>
      </w:r>
      <w:r>
        <w:rPr>
          <w:rFonts w:ascii="仿宋" w:hAnsi="仿宋" w:eastAsia="仿宋"/>
          <w:bCs/>
          <w:sz w:val="32"/>
          <w:szCs w:val="32"/>
        </w:rPr>
        <w:t>主要用于</w:t>
      </w:r>
      <w:r>
        <w:rPr>
          <w:rFonts w:hint="eastAsia" w:ascii="仿宋" w:hAnsi="仿宋" w:eastAsia="仿宋"/>
          <w:bCs/>
          <w:sz w:val="32"/>
          <w:szCs w:val="32"/>
        </w:rPr>
        <w:t>住院医师规范化培训学员津贴、带教老师津贴</w:t>
      </w:r>
      <w:r>
        <w:rPr>
          <w:rFonts w:ascii="仿宋" w:hAnsi="仿宋" w:eastAsia="仿宋"/>
          <w:bCs/>
          <w:sz w:val="32"/>
          <w:szCs w:val="32"/>
        </w:rPr>
        <w:t xml:space="preserve">。 </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 xml:space="preserve">5.实施周期 </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自202</w:t>
      </w:r>
      <w:r>
        <w:rPr>
          <w:rFonts w:hint="eastAsia" w:ascii="仿宋" w:hAnsi="仿宋" w:eastAsia="仿宋"/>
          <w:bCs/>
          <w:sz w:val="32"/>
          <w:szCs w:val="32"/>
        </w:rPr>
        <w:t>4</w:t>
      </w:r>
      <w:r>
        <w:rPr>
          <w:rFonts w:ascii="仿宋" w:hAnsi="仿宋" w:eastAsia="仿宋"/>
          <w:bCs/>
          <w:sz w:val="32"/>
          <w:szCs w:val="32"/>
        </w:rPr>
        <w:t>年1月1日至202</w:t>
      </w:r>
      <w:r>
        <w:rPr>
          <w:rFonts w:hint="eastAsia" w:ascii="仿宋" w:hAnsi="仿宋" w:eastAsia="仿宋"/>
          <w:bCs/>
          <w:sz w:val="32"/>
          <w:szCs w:val="32"/>
        </w:rPr>
        <w:t>4</w:t>
      </w:r>
      <w:r>
        <w:rPr>
          <w:rFonts w:ascii="仿宋" w:hAnsi="仿宋" w:eastAsia="仿宋"/>
          <w:bCs/>
          <w:sz w:val="32"/>
          <w:szCs w:val="32"/>
        </w:rPr>
        <w:t xml:space="preserve">年12月31日。 </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 xml:space="preserve">6.年度预算安排 </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202</w:t>
      </w:r>
      <w:r>
        <w:rPr>
          <w:rFonts w:hint="eastAsia" w:ascii="仿宋" w:hAnsi="仿宋" w:eastAsia="仿宋"/>
          <w:bCs/>
          <w:sz w:val="32"/>
          <w:szCs w:val="32"/>
        </w:rPr>
        <w:t>4</w:t>
      </w:r>
      <w:r>
        <w:rPr>
          <w:rFonts w:ascii="仿宋" w:hAnsi="仿宋" w:eastAsia="仿宋"/>
          <w:bCs/>
          <w:sz w:val="32"/>
          <w:szCs w:val="32"/>
        </w:rPr>
        <w:t>年该项目预算</w:t>
      </w:r>
      <w:r>
        <w:rPr>
          <w:rFonts w:hint="eastAsia" w:ascii="仿宋" w:hAnsi="仿宋" w:eastAsia="仿宋"/>
          <w:bCs/>
          <w:sz w:val="32"/>
          <w:szCs w:val="32"/>
        </w:rPr>
        <w:t>193.45万</w:t>
      </w:r>
      <w:r>
        <w:rPr>
          <w:rFonts w:ascii="仿宋" w:hAnsi="仿宋" w:eastAsia="仿宋"/>
          <w:bCs/>
          <w:sz w:val="32"/>
          <w:szCs w:val="32"/>
        </w:rPr>
        <w:t>元。</w:t>
      </w:r>
    </w:p>
    <w:p>
      <w:pPr>
        <w:pBdr>
          <w:bottom w:val="single" w:color="FFFFFF" w:sz="4" w:space="30"/>
        </w:pBdr>
        <w:kinsoku w:val="0"/>
        <w:wordWrap w:val="0"/>
        <w:spacing w:line="560" w:lineRule="atLeast"/>
        <w:ind w:firstLine="640" w:firstLineChars="200"/>
        <w:rPr>
          <w:rFonts w:ascii="楷体" w:hAnsi="楷体" w:eastAsia="楷体"/>
          <w:bCs/>
          <w:sz w:val="32"/>
          <w:szCs w:val="32"/>
        </w:rPr>
      </w:pPr>
      <w:r>
        <w:rPr>
          <w:rFonts w:ascii="楷体" w:hAnsi="楷体" w:eastAsia="楷体"/>
          <w:bCs/>
          <w:sz w:val="32"/>
          <w:szCs w:val="32"/>
        </w:rPr>
        <w:t>（</w:t>
      </w:r>
      <w:r>
        <w:rPr>
          <w:rFonts w:hint="eastAsia" w:ascii="楷体" w:hAnsi="楷体" w:eastAsia="楷体"/>
          <w:bCs/>
          <w:sz w:val="32"/>
          <w:szCs w:val="32"/>
        </w:rPr>
        <w:t>十九</w:t>
      </w:r>
      <w:r>
        <w:rPr>
          <w:rFonts w:ascii="楷体" w:hAnsi="楷体" w:eastAsia="楷体"/>
          <w:bCs/>
          <w:sz w:val="32"/>
          <w:szCs w:val="32"/>
        </w:rPr>
        <w:t>）</w:t>
      </w:r>
      <w:r>
        <w:rPr>
          <w:rFonts w:hint="eastAsia" w:ascii="楷体" w:hAnsi="楷体" w:eastAsia="楷体"/>
          <w:bCs/>
          <w:sz w:val="32"/>
          <w:szCs w:val="32"/>
        </w:rPr>
        <w:t>自治区应用技术研究与开发资金</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 xml:space="preserve">1.项目概述 </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本项目主要用于</w:t>
      </w:r>
      <w:r>
        <w:rPr>
          <w:rFonts w:hint="eastAsia" w:ascii="仿宋" w:hAnsi="仿宋" w:eastAsia="仿宋"/>
          <w:bCs/>
          <w:sz w:val="32"/>
          <w:szCs w:val="32"/>
        </w:rPr>
        <w:t>王继军胆囊切除术后人体肠道菌群改变分析与结直肠癌的相关性研究等科研项目。</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 xml:space="preserve">2.立项依据 </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hint="eastAsia" w:ascii="仿宋" w:hAnsi="仿宋" w:eastAsia="仿宋"/>
          <w:bCs/>
          <w:sz w:val="32"/>
          <w:szCs w:val="32"/>
        </w:rPr>
        <w:t>为了更好的对胆囊切除术后人体肠道菌群改变分析与结直肠癌的相关性研究等科研项目进行研究，特此申请该项资金。</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 xml:space="preserve">3.实施主体 </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hint="eastAsia" w:ascii="仿宋" w:hAnsi="仿宋" w:eastAsia="仿宋"/>
          <w:bCs/>
          <w:sz w:val="32"/>
          <w:szCs w:val="32"/>
        </w:rPr>
        <w:t>包头市中心医院</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 xml:space="preserve">4.实施方案 </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用于</w:t>
      </w:r>
      <w:r>
        <w:rPr>
          <w:rFonts w:hint="eastAsia" w:ascii="仿宋" w:hAnsi="仿宋" w:eastAsia="仿宋"/>
          <w:bCs/>
          <w:sz w:val="32"/>
          <w:szCs w:val="32"/>
        </w:rPr>
        <w:t>胆囊切除术后人体肠道菌群改变分析与结直肠癌的相关性研究等科研项的支出。</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 xml:space="preserve">5.实施周期 </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自202</w:t>
      </w:r>
      <w:r>
        <w:rPr>
          <w:rFonts w:hint="eastAsia" w:ascii="仿宋" w:hAnsi="仿宋" w:eastAsia="仿宋"/>
          <w:bCs/>
          <w:sz w:val="32"/>
          <w:szCs w:val="32"/>
        </w:rPr>
        <w:t>3</w:t>
      </w:r>
      <w:r>
        <w:rPr>
          <w:rFonts w:ascii="仿宋" w:hAnsi="仿宋" w:eastAsia="仿宋"/>
          <w:bCs/>
          <w:sz w:val="32"/>
          <w:szCs w:val="32"/>
        </w:rPr>
        <w:t>年1月1日至202</w:t>
      </w:r>
      <w:r>
        <w:rPr>
          <w:rFonts w:hint="eastAsia" w:ascii="仿宋" w:hAnsi="仿宋" w:eastAsia="仿宋"/>
          <w:bCs/>
          <w:sz w:val="32"/>
          <w:szCs w:val="32"/>
        </w:rPr>
        <w:t>5</w:t>
      </w:r>
      <w:r>
        <w:rPr>
          <w:rFonts w:ascii="仿宋" w:hAnsi="仿宋" w:eastAsia="仿宋"/>
          <w:bCs/>
          <w:sz w:val="32"/>
          <w:szCs w:val="32"/>
        </w:rPr>
        <w:t xml:space="preserve">年12月31日。 </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 xml:space="preserve">6.年度预算安排 </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202</w:t>
      </w:r>
      <w:r>
        <w:rPr>
          <w:rFonts w:hint="eastAsia" w:ascii="仿宋" w:hAnsi="仿宋" w:eastAsia="仿宋"/>
          <w:bCs/>
          <w:sz w:val="32"/>
          <w:szCs w:val="32"/>
        </w:rPr>
        <w:t>4</w:t>
      </w:r>
      <w:r>
        <w:rPr>
          <w:rFonts w:ascii="仿宋" w:hAnsi="仿宋" w:eastAsia="仿宋"/>
          <w:bCs/>
          <w:sz w:val="32"/>
          <w:szCs w:val="32"/>
        </w:rPr>
        <w:t>年该项目预算</w:t>
      </w:r>
      <w:r>
        <w:rPr>
          <w:rFonts w:hint="eastAsia" w:ascii="仿宋" w:hAnsi="仿宋" w:eastAsia="仿宋"/>
          <w:bCs/>
          <w:sz w:val="32"/>
          <w:szCs w:val="32"/>
        </w:rPr>
        <w:t>37.53万</w:t>
      </w:r>
      <w:r>
        <w:rPr>
          <w:rFonts w:ascii="仿宋" w:hAnsi="仿宋" w:eastAsia="仿宋"/>
          <w:bCs/>
          <w:sz w:val="32"/>
          <w:szCs w:val="32"/>
        </w:rPr>
        <w:t>元。</w:t>
      </w:r>
    </w:p>
    <w:p>
      <w:pPr>
        <w:pBdr>
          <w:bottom w:val="single" w:color="FFFFFF" w:sz="4" w:space="30"/>
        </w:pBdr>
        <w:kinsoku w:val="0"/>
        <w:wordWrap w:val="0"/>
        <w:spacing w:line="560" w:lineRule="atLeast"/>
        <w:ind w:firstLine="640" w:firstLineChars="200"/>
        <w:rPr>
          <w:rFonts w:ascii="楷体" w:hAnsi="楷体" w:eastAsia="楷体"/>
          <w:bCs/>
          <w:sz w:val="32"/>
          <w:szCs w:val="32"/>
        </w:rPr>
      </w:pPr>
      <w:r>
        <w:rPr>
          <w:rFonts w:ascii="楷体" w:hAnsi="楷体" w:eastAsia="楷体"/>
          <w:bCs/>
          <w:sz w:val="32"/>
          <w:szCs w:val="32"/>
        </w:rPr>
        <w:t>（</w:t>
      </w:r>
      <w:r>
        <w:rPr>
          <w:rFonts w:hint="eastAsia" w:ascii="楷体" w:hAnsi="楷体" w:eastAsia="楷体"/>
          <w:bCs/>
          <w:sz w:val="32"/>
          <w:szCs w:val="32"/>
        </w:rPr>
        <w:t>二十</w:t>
      </w:r>
      <w:r>
        <w:rPr>
          <w:rFonts w:ascii="楷体" w:hAnsi="楷体" w:eastAsia="楷体"/>
          <w:bCs/>
          <w:sz w:val="32"/>
          <w:szCs w:val="32"/>
        </w:rPr>
        <w:t>）</w:t>
      </w:r>
      <w:r>
        <w:rPr>
          <w:rFonts w:hint="eastAsia" w:ascii="楷体" w:hAnsi="楷体" w:eastAsia="楷体"/>
          <w:bCs/>
          <w:sz w:val="32"/>
          <w:szCs w:val="32"/>
        </w:rPr>
        <w:t>重大传染病防控经费</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 xml:space="preserve">1.项目概述 </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本项目主要用于</w:t>
      </w:r>
      <w:r>
        <w:rPr>
          <w:rFonts w:hint="eastAsia" w:ascii="仿宋" w:hAnsi="仿宋" w:eastAsia="仿宋"/>
          <w:bCs/>
          <w:sz w:val="32"/>
          <w:szCs w:val="32"/>
        </w:rPr>
        <w:t>支持扩大免疫规划、艾滋病防治、结核病防治、血吸虫与包虫病防治、精神卫生与慢性非传染性疾病防治、新冠肺炎等重点传染病监测工作。</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 xml:space="preserve">2.立项依据 </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hint="eastAsia" w:ascii="仿宋" w:hAnsi="仿宋" w:eastAsia="仿宋"/>
          <w:bCs/>
          <w:sz w:val="32"/>
          <w:szCs w:val="32"/>
        </w:rPr>
        <w:t>为了进一步做好重大传染病防控工作，支持扩大免疫规划、艾滋病防治、结核病防治、血吸虫与包虫病防治、精神卫生与慢性非传染性疾病防治、新冠肺炎等重点传染病监测工作，特申请该项资金。</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 xml:space="preserve">3.实施主体 </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hint="eastAsia" w:ascii="仿宋" w:hAnsi="仿宋" w:eastAsia="仿宋"/>
          <w:bCs/>
          <w:sz w:val="32"/>
          <w:szCs w:val="32"/>
        </w:rPr>
        <w:t>包头市中心医院</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 xml:space="preserve">4.实施方案 </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hint="eastAsia" w:ascii="仿宋" w:hAnsi="仿宋" w:eastAsia="仿宋"/>
          <w:bCs/>
          <w:sz w:val="32"/>
          <w:szCs w:val="32"/>
        </w:rPr>
        <w:t>该项资金用于扩大免疫规划、艾滋病防治、结核病防治、血吸虫与包虫病防治、精神卫生与慢性非传染性疾病防治、新冠肺炎等重点传染病监测工作。</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 xml:space="preserve">5.实施周期 </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自202</w:t>
      </w:r>
      <w:r>
        <w:rPr>
          <w:rFonts w:hint="eastAsia" w:ascii="仿宋" w:hAnsi="仿宋" w:eastAsia="仿宋"/>
          <w:bCs/>
          <w:sz w:val="32"/>
          <w:szCs w:val="32"/>
        </w:rPr>
        <w:t>4</w:t>
      </w:r>
      <w:r>
        <w:rPr>
          <w:rFonts w:ascii="仿宋" w:hAnsi="仿宋" w:eastAsia="仿宋"/>
          <w:bCs/>
          <w:sz w:val="32"/>
          <w:szCs w:val="32"/>
        </w:rPr>
        <w:t>年1月1日至202</w:t>
      </w:r>
      <w:r>
        <w:rPr>
          <w:rFonts w:hint="eastAsia" w:ascii="仿宋" w:hAnsi="仿宋" w:eastAsia="仿宋"/>
          <w:bCs/>
          <w:sz w:val="32"/>
          <w:szCs w:val="32"/>
        </w:rPr>
        <w:t>4</w:t>
      </w:r>
      <w:r>
        <w:rPr>
          <w:rFonts w:ascii="仿宋" w:hAnsi="仿宋" w:eastAsia="仿宋"/>
          <w:bCs/>
          <w:sz w:val="32"/>
          <w:szCs w:val="32"/>
        </w:rPr>
        <w:t xml:space="preserve">年12月31日。 </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 xml:space="preserve">6.年度预算安排 </w:t>
      </w:r>
    </w:p>
    <w:p>
      <w:pPr>
        <w:pBdr>
          <w:bottom w:val="single" w:color="FFFFFF" w:sz="4" w:space="30"/>
        </w:pBdr>
        <w:kinsoku w:val="0"/>
        <w:wordWrap w:val="0"/>
        <w:spacing w:line="560" w:lineRule="atLeast"/>
        <w:ind w:firstLine="640" w:firstLineChars="200"/>
        <w:rPr>
          <w:rFonts w:ascii="仿宋" w:hAnsi="仿宋" w:eastAsia="仿宋"/>
          <w:bCs/>
          <w:sz w:val="32"/>
          <w:szCs w:val="32"/>
        </w:rPr>
      </w:pPr>
      <w:r>
        <w:rPr>
          <w:rFonts w:ascii="仿宋" w:hAnsi="仿宋" w:eastAsia="仿宋"/>
          <w:bCs/>
          <w:sz w:val="32"/>
          <w:szCs w:val="32"/>
        </w:rPr>
        <w:t>202</w:t>
      </w:r>
      <w:r>
        <w:rPr>
          <w:rFonts w:hint="eastAsia" w:ascii="仿宋" w:hAnsi="仿宋" w:eastAsia="仿宋"/>
          <w:bCs/>
          <w:sz w:val="32"/>
          <w:szCs w:val="32"/>
        </w:rPr>
        <w:t>4</w:t>
      </w:r>
      <w:r>
        <w:rPr>
          <w:rFonts w:ascii="仿宋" w:hAnsi="仿宋" w:eastAsia="仿宋"/>
          <w:bCs/>
          <w:sz w:val="32"/>
          <w:szCs w:val="32"/>
        </w:rPr>
        <w:t>年该项目预算</w:t>
      </w:r>
      <w:r>
        <w:rPr>
          <w:rFonts w:hint="eastAsia" w:ascii="仿宋" w:hAnsi="仿宋" w:eastAsia="仿宋"/>
          <w:bCs/>
          <w:sz w:val="32"/>
          <w:szCs w:val="32"/>
        </w:rPr>
        <w:t>4.72万</w:t>
      </w:r>
      <w:r>
        <w:rPr>
          <w:rFonts w:ascii="仿宋" w:hAnsi="仿宋" w:eastAsia="仿宋"/>
          <w:bCs/>
          <w:sz w:val="32"/>
          <w:szCs w:val="32"/>
        </w:rPr>
        <w:t>元。</w:t>
      </w:r>
    </w:p>
    <w:p>
      <w:pPr>
        <w:pBdr>
          <w:bottom w:val="single" w:color="FFFFFF" w:sz="4" w:space="30"/>
        </w:pBdr>
        <w:kinsoku w:val="0"/>
        <w:wordWrap w:val="0"/>
        <w:spacing w:line="560" w:lineRule="atLeast"/>
        <w:ind w:firstLine="803" w:firstLineChars="250"/>
        <w:rPr>
          <w:rFonts w:ascii="黑体" w:hAnsi="黑体" w:eastAsia="黑体" w:cs="黑体"/>
          <w:b/>
          <w:bCs/>
          <w:sz w:val="32"/>
          <w:szCs w:val="32"/>
        </w:rPr>
      </w:pPr>
      <w:r>
        <w:rPr>
          <w:rFonts w:hint="eastAsia" w:ascii="黑体" w:hAnsi="黑体" w:eastAsia="黑体" w:cs="黑体"/>
          <w:b/>
          <w:bCs/>
          <w:sz w:val="32"/>
          <w:szCs w:val="32"/>
        </w:rPr>
        <w:t>十一、一般公共预算机关运行经费支出预算情况说明</w:t>
      </w:r>
    </w:p>
    <w:p>
      <w:pPr>
        <w:pBdr>
          <w:bottom w:val="single" w:color="FFFFFF" w:sz="4" w:space="30"/>
        </w:pBdr>
        <w:kinsoku w:val="0"/>
        <w:wordWrap w:val="0"/>
        <w:spacing w:line="560" w:lineRule="atLeast"/>
        <w:ind w:firstLine="787" w:firstLineChars="246"/>
        <w:rPr>
          <w:rFonts w:ascii="仿宋" w:hAnsi="仿宋" w:eastAsia="仿宋" w:cs="仿宋"/>
          <w:sz w:val="32"/>
          <w:szCs w:val="32"/>
        </w:rPr>
      </w:pPr>
      <w:r>
        <w:rPr>
          <w:rFonts w:hint="eastAsia" w:ascii="仿宋" w:hAnsi="仿宋" w:eastAsia="仿宋" w:cs="仿宋"/>
          <w:sz w:val="32"/>
          <w:szCs w:val="32"/>
        </w:rPr>
        <w:t>2024年包头市中心医院一般公共预算机关运行经费预算支出33.48万元，主要包括以下支出：公用经费33.48万元。与上年相比增加14.98万元，增长80.97%。主要原因是本年退休人员增加。</w:t>
      </w:r>
    </w:p>
    <w:p>
      <w:pPr>
        <w:pBdr>
          <w:bottom w:val="single" w:color="FFFFFF" w:sz="4" w:space="30"/>
        </w:pBdr>
        <w:kinsoku w:val="0"/>
        <w:wordWrap w:val="0"/>
        <w:spacing w:line="560" w:lineRule="atLeast"/>
        <w:ind w:firstLine="790" w:firstLineChars="246"/>
        <w:rPr>
          <w:rFonts w:ascii="黑体" w:hAnsi="黑体" w:eastAsia="黑体" w:cs="仿宋"/>
          <w:sz w:val="32"/>
          <w:szCs w:val="32"/>
        </w:rPr>
      </w:pPr>
      <w:r>
        <w:rPr>
          <w:rFonts w:hint="eastAsia" w:ascii="黑体" w:hAnsi="黑体" w:eastAsia="黑体" w:cs="黑体"/>
          <w:b/>
          <w:bCs/>
          <w:sz w:val="32"/>
          <w:szCs w:val="32"/>
        </w:rPr>
        <w:t>十二、政府采购支出预算情况说明</w:t>
      </w:r>
    </w:p>
    <w:p>
      <w:pPr>
        <w:pBdr>
          <w:bottom w:val="single" w:color="FFFFFF" w:sz="4" w:space="30"/>
        </w:pBdr>
        <w:kinsoku w:val="0"/>
        <w:wordWrap w:val="0"/>
        <w:spacing w:line="560" w:lineRule="atLeast"/>
        <w:ind w:firstLine="787" w:firstLineChars="246"/>
        <w:rPr>
          <w:rFonts w:ascii="仿宋" w:hAnsi="仿宋" w:eastAsia="仿宋" w:cs="仿宋"/>
          <w:sz w:val="32"/>
          <w:szCs w:val="32"/>
        </w:rPr>
      </w:pPr>
      <w:r>
        <w:rPr>
          <w:rFonts w:hint="eastAsia" w:ascii="仿宋" w:hAnsi="仿宋" w:eastAsia="仿宋" w:cs="仿宋"/>
          <w:sz w:val="32"/>
          <w:szCs w:val="32"/>
        </w:rPr>
        <w:t>包头市中心医院2023年度政府采购支出预算总额0万元，其中：拟采购货物支出0</w:t>
      </w:r>
      <w:r>
        <w:rPr>
          <w:rFonts w:hint="eastAsia" w:ascii="仿宋" w:hAnsi="仿宋" w:eastAsia="仿宋" w:cs="仿宋"/>
          <w:sz w:val="32"/>
          <w:szCs w:val="32"/>
        </w:rPr>
        <w:tab/>
      </w:r>
      <w:r>
        <w:rPr>
          <w:rFonts w:hint="eastAsia" w:ascii="仿宋" w:hAnsi="仿宋" w:eastAsia="仿宋" w:cs="仿宋"/>
          <w:sz w:val="32"/>
          <w:szCs w:val="32"/>
        </w:rPr>
        <w:t>万元、拟采购工程支出0万元、拟购买服务支出0万元。主要原因是本年无政府采购预算拨款支出,以空表列示。</w:t>
      </w:r>
    </w:p>
    <w:p>
      <w:pPr>
        <w:pBdr>
          <w:bottom w:val="single" w:color="FFFFFF" w:sz="4" w:space="30"/>
        </w:pBdr>
        <w:kinsoku w:val="0"/>
        <w:wordWrap w:val="0"/>
        <w:spacing w:line="560" w:lineRule="atLeast"/>
        <w:ind w:firstLine="790" w:firstLineChars="246"/>
        <w:rPr>
          <w:rFonts w:ascii="黑体" w:hAnsi="黑体" w:eastAsia="黑体" w:cs="仿宋"/>
          <w:sz w:val="32"/>
          <w:szCs w:val="32"/>
        </w:rPr>
      </w:pPr>
      <w:r>
        <w:rPr>
          <w:rFonts w:hint="eastAsia" w:ascii="黑体" w:hAnsi="黑体" w:eastAsia="黑体" w:cs="黑体"/>
          <w:b/>
          <w:bCs/>
          <w:sz w:val="32"/>
          <w:szCs w:val="32"/>
        </w:rPr>
        <w:t>十三、国有资产占用情况说明</w:t>
      </w:r>
    </w:p>
    <w:p>
      <w:pPr>
        <w:pBdr>
          <w:bottom w:val="single" w:color="FFFFFF" w:sz="4" w:space="30"/>
        </w:pBdr>
        <w:kinsoku w:val="0"/>
        <w:wordWrap w:val="0"/>
        <w:spacing w:line="560" w:lineRule="atLeast"/>
        <w:ind w:firstLine="787" w:firstLineChars="246"/>
        <w:rPr>
          <w:rFonts w:ascii="仿宋" w:hAnsi="仿宋" w:eastAsia="仿宋" w:cs="仿宋"/>
          <w:sz w:val="32"/>
          <w:szCs w:val="32"/>
        </w:rPr>
      </w:pPr>
      <w:r>
        <w:rPr>
          <w:rFonts w:hint="eastAsia" w:ascii="仿宋" w:hAnsi="仿宋" w:eastAsia="仿宋" w:cs="仿宋"/>
          <w:sz w:val="32"/>
          <w:szCs w:val="32"/>
        </w:rPr>
        <w:t>本单位共有车辆13辆，其中，一般公务用车0辆、执法执勤用车0辆、特种专业技术用车8辆、业务用车0辆、其他用车5辆等。单价50万元（含）以上的通用设备32台，单价100万元（含）以上的专用设备183台。</w:t>
      </w:r>
    </w:p>
    <w:p>
      <w:pPr>
        <w:pBdr>
          <w:bottom w:val="single" w:color="FFFFFF" w:sz="4" w:space="30"/>
        </w:pBdr>
        <w:kinsoku w:val="0"/>
        <w:wordWrap w:val="0"/>
        <w:spacing w:line="560" w:lineRule="atLeast"/>
        <w:ind w:firstLine="790" w:firstLineChars="246"/>
        <w:rPr>
          <w:rFonts w:ascii="黑体" w:hAnsi="黑体" w:eastAsia="黑体" w:cs="仿宋"/>
          <w:sz w:val="32"/>
          <w:szCs w:val="32"/>
        </w:rPr>
      </w:pPr>
      <w:r>
        <w:rPr>
          <w:rFonts w:hint="eastAsia" w:ascii="黑体" w:hAnsi="黑体" w:eastAsia="黑体" w:cs="黑体"/>
          <w:b/>
          <w:bCs/>
          <w:sz w:val="32"/>
          <w:szCs w:val="32"/>
        </w:rPr>
        <w:t>十四、项目绩效目标情况说明</w:t>
      </w:r>
    </w:p>
    <w:p>
      <w:pPr>
        <w:pBdr>
          <w:bottom w:val="single" w:color="FFFFFF" w:sz="4" w:space="30"/>
        </w:pBdr>
        <w:kinsoku w:val="0"/>
        <w:wordWrap w:val="0"/>
        <w:spacing w:line="560" w:lineRule="atLeast"/>
        <w:ind w:firstLine="787" w:firstLineChars="246"/>
        <w:rPr>
          <w:rFonts w:ascii="仿宋" w:hAnsi="仿宋" w:eastAsia="仿宋" w:cs="仿宋"/>
          <w:sz w:val="32"/>
          <w:szCs w:val="32"/>
        </w:rPr>
      </w:pPr>
      <w:r>
        <w:rPr>
          <w:rFonts w:hint="eastAsia" w:ascii="仿宋" w:hAnsi="仿宋" w:eastAsia="仿宋" w:cs="仿宋"/>
          <w:sz w:val="32"/>
          <w:szCs w:val="32"/>
        </w:rPr>
        <w:t>2024年，填报绩效目标的预算项目10个，公开绩效目标20个，公开项目占本年预算项目的50%。公开填报绩效目标的项目预算124218.33万元，占本年项目预算的99.77%。</w:t>
      </w:r>
    </w:p>
    <w:p>
      <w:pPr>
        <w:pStyle w:val="5"/>
      </w:pPr>
      <w:r>
        <w:rPr>
          <w:rFonts w:hint="eastAsia"/>
        </w:rPr>
        <w:t>第三部分 名词解释</w:t>
      </w:r>
    </w:p>
    <w:p>
      <w:pPr>
        <w:pBdr>
          <w:bottom w:val="single" w:color="FFFFFF" w:sz="4" w:space="30"/>
        </w:pBdr>
        <w:kinsoku w:val="0"/>
        <w:wordWrap w:val="0"/>
        <w:spacing w:line="560" w:lineRule="atLeast"/>
        <w:ind w:firstLine="790" w:firstLineChars="246"/>
        <w:jc w:val="left"/>
        <w:rPr>
          <w:rFonts w:ascii="仿宋" w:hAnsi="仿宋" w:eastAsia="仿宋" w:cs="仿宋"/>
          <w:sz w:val="32"/>
          <w:szCs w:val="32"/>
        </w:rPr>
      </w:pPr>
      <w:r>
        <w:rPr>
          <w:rFonts w:hint="eastAsia" w:ascii="仿宋" w:hAnsi="仿宋" w:eastAsia="仿宋" w:cstheme="minorBidi"/>
          <w:b/>
          <w:bCs/>
          <w:sz w:val="32"/>
          <w:szCs w:val="32"/>
        </w:rPr>
        <w:t>一、财政拨款：</w:t>
      </w:r>
      <w:r>
        <w:rPr>
          <w:rFonts w:hint="eastAsia" w:ascii="仿宋" w:hAnsi="仿宋" w:eastAsia="仿宋" w:cs="仿宋"/>
          <w:sz w:val="32"/>
          <w:szCs w:val="32"/>
        </w:rPr>
        <w:t>单位从同级财政部门取得的各类财政拨款，包括一般公共预算拨款、政府性基金预算拨款、国有资本经营预算拨款。</w:t>
      </w:r>
    </w:p>
    <w:p>
      <w:pPr>
        <w:pBdr>
          <w:bottom w:val="single" w:color="FFFFFF" w:sz="4" w:space="30"/>
        </w:pBdr>
        <w:kinsoku w:val="0"/>
        <w:wordWrap w:val="0"/>
        <w:spacing w:line="560" w:lineRule="atLeast"/>
        <w:ind w:firstLine="790" w:firstLineChars="246"/>
        <w:jc w:val="left"/>
        <w:rPr>
          <w:rFonts w:ascii="仿宋" w:hAnsi="仿宋" w:eastAsia="仿宋" w:cs="仿宋"/>
          <w:sz w:val="32"/>
          <w:szCs w:val="32"/>
        </w:rPr>
      </w:pPr>
      <w:r>
        <w:rPr>
          <w:rFonts w:hint="eastAsia" w:ascii="仿宋" w:hAnsi="仿宋" w:eastAsia="仿宋" w:cstheme="minorBidi"/>
          <w:b/>
          <w:bCs/>
          <w:sz w:val="32"/>
          <w:szCs w:val="32"/>
        </w:rPr>
        <w:t>二、一般公共预算拨款收入：</w:t>
      </w:r>
      <w:r>
        <w:rPr>
          <w:rFonts w:hint="eastAsia" w:ascii="仿宋" w:hAnsi="仿宋" w:eastAsia="仿宋" w:cs="仿宋"/>
          <w:sz w:val="32"/>
          <w:szCs w:val="32"/>
        </w:rPr>
        <w:t>指市级财政当年拨付的资金。</w:t>
      </w:r>
    </w:p>
    <w:p>
      <w:pPr>
        <w:pBdr>
          <w:bottom w:val="single" w:color="FFFFFF" w:sz="4" w:space="30"/>
        </w:pBdr>
        <w:kinsoku w:val="0"/>
        <w:wordWrap w:val="0"/>
        <w:spacing w:line="560" w:lineRule="atLeast"/>
        <w:ind w:firstLine="790" w:firstLineChars="246"/>
        <w:jc w:val="left"/>
        <w:rPr>
          <w:rFonts w:ascii="仿宋" w:hAnsi="仿宋" w:eastAsia="仿宋" w:cs="仿宋"/>
          <w:sz w:val="32"/>
          <w:szCs w:val="32"/>
        </w:rPr>
      </w:pPr>
      <w:r>
        <w:rPr>
          <w:rFonts w:hint="eastAsia" w:ascii="仿宋" w:hAnsi="仿宋" w:eastAsia="仿宋" w:cstheme="minorBidi"/>
          <w:b/>
          <w:bCs/>
          <w:sz w:val="32"/>
          <w:szCs w:val="32"/>
        </w:rPr>
        <w:t>三、单位资金：</w:t>
      </w:r>
      <w:r>
        <w:rPr>
          <w:rFonts w:hint="eastAsia" w:ascii="仿宋" w:hAnsi="仿宋" w:eastAsia="仿宋" w:cs="仿宋"/>
          <w:sz w:val="32"/>
          <w:szCs w:val="32"/>
        </w:rPr>
        <w:t>除财政拨款收入和财政专户管理资金以外的收入，包括事业收入（不含教育收费）、上级补助收入、附属单位上缴收入、事业单位经营收入及其他收入（包含债务收入、投资收益等）。</w:t>
      </w:r>
    </w:p>
    <w:p>
      <w:pPr>
        <w:pBdr>
          <w:bottom w:val="single" w:color="FFFFFF" w:sz="4" w:space="30"/>
        </w:pBdr>
        <w:kinsoku w:val="0"/>
        <w:wordWrap w:val="0"/>
        <w:spacing w:line="560" w:lineRule="atLeast"/>
        <w:ind w:firstLine="790" w:firstLineChars="246"/>
        <w:jc w:val="left"/>
        <w:rPr>
          <w:rFonts w:ascii="仿宋" w:hAnsi="仿宋" w:eastAsia="仿宋" w:cs="仿宋"/>
          <w:sz w:val="32"/>
          <w:szCs w:val="32"/>
        </w:rPr>
      </w:pPr>
      <w:r>
        <w:rPr>
          <w:rFonts w:hint="eastAsia" w:ascii="仿宋" w:hAnsi="仿宋" w:eastAsia="仿宋" w:cstheme="minorBidi"/>
          <w:b/>
          <w:bCs/>
          <w:sz w:val="32"/>
          <w:szCs w:val="32"/>
        </w:rPr>
        <w:t>四、基本支出：</w:t>
      </w:r>
      <w:r>
        <w:rPr>
          <w:rFonts w:hint="eastAsia" w:ascii="仿宋" w:hAnsi="仿宋" w:eastAsia="仿宋" w:cs="仿宋"/>
          <w:sz w:val="32"/>
          <w:szCs w:val="32"/>
        </w:rPr>
        <w:t>指为保障机构正常运转、完成工作任务而发生的人员支出和公用支出。</w:t>
      </w:r>
    </w:p>
    <w:p>
      <w:pPr>
        <w:pBdr>
          <w:bottom w:val="single" w:color="FFFFFF" w:sz="4" w:space="30"/>
        </w:pBdr>
        <w:kinsoku w:val="0"/>
        <w:wordWrap w:val="0"/>
        <w:spacing w:line="560" w:lineRule="atLeast"/>
        <w:ind w:firstLine="790" w:firstLineChars="246"/>
        <w:jc w:val="left"/>
        <w:rPr>
          <w:rFonts w:ascii="仿宋" w:hAnsi="仿宋" w:eastAsia="仿宋" w:cs="仿宋"/>
          <w:sz w:val="32"/>
          <w:szCs w:val="32"/>
        </w:rPr>
      </w:pPr>
      <w:r>
        <w:rPr>
          <w:rFonts w:hint="eastAsia" w:ascii="仿宋" w:hAnsi="仿宋" w:eastAsia="仿宋" w:cstheme="minorBidi"/>
          <w:b/>
          <w:bCs/>
          <w:sz w:val="32"/>
          <w:szCs w:val="32"/>
        </w:rPr>
        <w:t>五、项目支出：</w:t>
      </w:r>
      <w:r>
        <w:rPr>
          <w:rFonts w:hint="eastAsia" w:ascii="仿宋" w:hAnsi="仿宋" w:eastAsia="仿宋" w:cs="仿宋"/>
          <w:sz w:val="32"/>
          <w:szCs w:val="32"/>
        </w:rPr>
        <w:t>指在基本支出之外为完成特定工作任务和事业发展目标所发生的支出。</w:t>
      </w:r>
    </w:p>
    <w:p>
      <w:pPr>
        <w:pBdr>
          <w:bottom w:val="single" w:color="FFFFFF" w:sz="4" w:space="30"/>
        </w:pBdr>
        <w:kinsoku w:val="0"/>
        <w:wordWrap w:val="0"/>
        <w:spacing w:line="560" w:lineRule="atLeast"/>
        <w:ind w:firstLine="790" w:firstLineChars="246"/>
        <w:jc w:val="left"/>
        <w:rPr>
          <w:rFonts w:ascii="仿宋" w:hAnsi="仿宋" w:eastAsia="仿宋" w:cs="仿宋"/>
          <w:sz w:val="32"/>
          <w:szCs w:val="32"/>
        </w:rPr>
      </w:pPr>
      <w:r>
        <w:rPr>
          <w:rFonts w:hint="eastAsia" w:ascii="仿宋" w:hAnsi="仿宋" w:eastAsia="仿宋" w:cstheme="minorBidi"/>
          <w:b/>
          <w:bCs/>
          <w:sz w:val="32"/>
          <w:szCs w:val="32"/>
        </w:rPr>
        <w:t>六、对个人和家庭的补助：</w:t>
      </w:r>
      <w:r>
        <w:rPr>
          <w:rFonts w:hint="eastAsia" w:ascii="仿宋" w:hAnsi="仿宋" w:eastAsia="仿宋" w:cs="仿宋"/>
          <w:sz w:val="32"/>
          <w:szCs w:val="32"/>
        </w:rPr>
        <w:t>是指政府用于对个人和家庭的补助支出。</w:t>
      </w:r>
    </w:p>
    <w:p>
      <w:pPr>
        <w:pBdr>
          <w:bottom w:val="single" w:color="FFFFFF" w:sz="4" w:space="30"/>
        </w:pBdr>
        <w:kinsoku w:val="0"/>
        <w:wordWrap w:val="0"/>
        <w:spacing w:line="560" w:lineRule="atLeast"/>
        <w:ind w:firstLine="790" w:firstLineChars="246"/>
        <w:jc w:val="left"/>
        <w:rPr>
          <w:rFonts w:ascii="仿宋" w:hAnsi="仿宋" w:eastAsia="仿宋" w:cs="仿宋"/>
          <w:sz w:val="32"/>
          <w:szCs w:val="32"/>
        </w:rPr>
      </w:pPr>
      <w:r>
        <w:rPr>
          <w:rFonts w:hint="eastAsia" w:ascii="仿宋" w:hAnsi="仿宋" w:eastAsia="仿宋" w:cstheme="minorBidi"/>
          <w:b/>
          <w:bCs/>
          <w:sz w:val="32"/>
          <w:szCs w:val="32"/>
        </w:rPr>
        <w:t>七、“三公”经费：</w:t>
      </w:r>
      <w:r>
        <w:rPr>
          <w:rFonts w:hint="eastAsia" w:ascii="仿宋" w:hAnsi="仿宋" w:eastAsia="仿宋" w:cs="仿宋"/>
          <w:sz w:val="32"/>
          <w:szCs w:val="32"/>
        </w:rPr>
        <w:t xml:space="preserve">单位用一般公共预算财政拨款安排的因公出国（境）费、公务用车购置及运行维护费和公务接待费。其中，因公出国（境）费反映单位公务出国（境）的住宿费、旅费、伙食补助费、杂费、培训费等支出；公务用车购置及运行维护费反映单位公务用车购置费、燃料费、维修费、过路过桥费、保险费、安全奖励费用等支出；公务接待费是反映单位按规定开支的各类公务接待（含外宾接待）支出。             </w:t>
      </w:r>
    </w:p>
    <w:p>
      <w:pPr>
        <w:pBdr>
          <w:bottom w:val="single" w:color="FFFFFF" w:sz="4" w:space="30"/>
        </w:pBdr>
        <w:kinsoku w:val="0"/>
        <w:wordWrap w:val="0"/>
        <w:spacing w:line="560" w:lineRule="atLeast"/>
        <w:ind w:firstLine="790" w:firstLineChars="246"/>
        <w:jc w:val="left"/>
        <w:rPr>
          <w:rFonts w:ascii="仿宋" w:hAnsi="仿宋" w:eastAsia="仿宋" w:cs="仿宋"/>
          <w:sz w:val="32"/>
          <w:szCs w:val="32"/>
        </w:rPr>
      </w:pPr>
      <w:r>
        <w:rPr>
          <w:rFonts w:hint="eastAsia" w:ascii="仿宋" w:hAnsi="仿宋" w:eastAsia="仿宋" w:cstheme="minorBidi"/>
          <w:b/>
          <w:bCs/>
          <w:sz w:val="32"/>
          <w:szCs w:val="32"/>
        </w:rPr>
        <w:t>八、机关运行经费：</w:t>
      </w:r>
      <w:r>
        <w:rPr>
          <w:rFonts w:hint="eastAsia" w:ascii="仿宋" w:hAnsi="仿宋" w:eastAsia="仿宋" w:cs="仿宋"/>
          <w:sz w:val="32"/>
          <w:szCs w:val="32"/>
        </w:rPr>
        <w:t>指单位使用一般公共预算安排的基本支出中的日常公用经费支出，包括办公及印刷费、邮电费、差旅费、会议费、福利费、日常维修费、专用材料及一般设备购置费、办公用房水电费、办公用房取暖费、办公用房物业管理费、公务用车运行维护费及其他费用等。</w:t>
      </w:r>
    </w:p>
    <w:p>
      <w:pPr>
        <w:kinsoku w:val="0"/>
        <w:wordWrap w:val="0"/>
        <w:spacing w:line="560" w:lineRule="atLeast"/>
        <w:jc w:val="center"/>
        <w:rPr>
          <w:rFonts w:ascii="仿宋" w:hAnsi="仿宋" w:eastAsia="仿宋" w:cs="方正小标宋简体"/>
          <w:b/>
          <w:bCs/>
          <w:sz w:val="32"/>
          <w:szCs w:val="32"/>
        </w:rPr>
      </w:pPr>
      <w:r>
        <w:rPr>
          <w:rFonts w:hint="eastAsia" w:ascii="仿宋" w:hAnsi="仿宋" w:eastAsia="仿宋" w:cs="方正小标宋简体"/>
          <w:b/>
          <w:bCs/>
          <w:sz w:val="32"/>
          <w:szCs w:val="32"/>
        </w:rPr>
        <w:t>第四部分 预算公开联系方式及信息反馈渠道</w:t>
      </w:r>
    </w:p>
    <w:p>
      <w:pPr>
        <w:pStyle w:val="2"/>
      </w:pPr>
    </w:p>
    <w:p>
      <w:pPr>
        <w:kinsoku w:val="0"/>
        <w:wordWrap w:val="0"/>
        <w:spacing w:line="560" w:lineRule="atLeast"/>
        <w:ind w:firstLine="640" w:firstLineChars="200"/>
        <w:rPr>
          <w:rFonts w:ascii="仿宋" w:hAnsi="仿宋" w:eastAsia="仿宋" w:cs="仿宋"/>
          <w:sz w:val="32"/>
          <w:szCs w:val="32"/>
        </w:rPr>
      </w:pPr>
      <w:r>
        <w:rPr>
          <w:rFonts w:hint="eastAsia" w:ascii="仿宋" w:hAnsi="仿宋" w:eastAsia="仿宋" w:cs="仿宋"/>
          <w:sz w:val="32"/>
          <w:szCs w:val="32"/>
        </w:rPr>
        <w:t>本单位预算公开信息反馈和联系方式：</w:t>
      </w:r>
    </w:p>
    <w:p>
      <w:pPr>
        <w:kinsoku w:val="0"/>
        <w:wordWrap w:val="0"/>
        <w:spacing w:line="560" w:lineRule="atLeast"/>
        <w:ind w:firstLine="640" w:firstLineChars="200"/>
        <w:rPr>
          <w:rFonts w:ascii="仿宋" w:hAnsi="仿宋" w:eastAsia="仿宋"/>
          <w:sz w:val="32"/>
          <w:szCs w:val="32"/>
        </w:rPr>
      </w:pPr>
      <w:r>
        <w:rPr>
          <w:rFonts w:hint="eastAsia" w:ascii="仿宋" w:hAnsi="仿宋" w:eastAsia="仿宋" w:cs="仿宋"/>
          <w:sz w:val="32"/>
          <w:szCs w:val="32"/>
        </w:rPr>
        <w:t>联系人：连佳丽          联系电话：0472--6955288</w:t>
      </w:r>
    </w:p>
    <w:sectPr>
      <w:pgSz w:w="11906" w:h="16838"/>
      <w:pgMar w:top="2098" w:right="1474" w:bottom="1985"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ourier New">
    <w:panose1 w:val="02070309020205020404"/>
    <w:charset w:val="00"/>
    <w:family w:val="modern"/>
    <w:pitch w:val="default"/>
    <w:sig w:usb0="E0002AFF" w:usb1="C0007843" w:usb2="00000009" w:usb3="00000000" w:csb0="400001FF" w:csb1="FFFF0000"/>
  </w:font>
  <w:font w:name="Arial">
    <w:panose1 w:val="020B0604020202020204"/>
    <w:charset w:val="00"/>
    <w:family w:val="swiss"/>
    <w:pitch w:val="default"/>
    <w:sig w:usb0="E0002AFF" w:usb1="C0007843" w:usb2="00000009" w:usb3="00000000" w:csb0="400001FF" w:csb1="FFFF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Calibri Light">
    <w:panose1 w:val="020F0302020204030204"/>
    <w:charset w:val="00"/>
    <w:family w:val="swiss"/>
    <w:pitch w:val="default"/>
    <w:sig w:usb0="A00002EF" w:usb1="4000207B" w:usb2="00000000" w:usb3="00000000" w:csb0="2000019F" w:csb1="00000000"/>
  </w:font>
  <w:font w:name="方正小标宋简体">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pict>
        <v:shape id="文本框 196" o:spid="_x0000_s4097" o:spt="202" type="#_x0000_t202" style="position:absolute;left:0pt;margin-top:0pt;height:144pt;width:144pt;mso-position-horizontal:right;mso-position-horizontal-relative:margin;mso-wrap-style:none;z-index:251659264;mso-width-relative:page;mso-height-relative:page;"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">
          <v:path/>
          <v:fill on="f" focussize="0,0"/>
          <v:stroke on="f" weight="0.5pt" joinstyle="miter"/>
          <v:imagedata o:title=""/>
          <o:lock v:ext="edit"/>
          <v:textbox inset="0mm,0mm,0mm,0mm" style="mso-fit-shape-to-text:t;">
            <w:txbxContent>
              <w:p>
                <w:pPr>
                  <w:pStyle w:val="9"/>
                </w:pPr>
                <w:r>
                  <w:fldChar w:fldCharType="begin"/>
                </w:r>
                <w:r>
                  <w:instrText xml:space="preserve"> PAGE  \* MERGEFORMAT </w:instrText>
                </w:r>
                <w:r>
                  <w:fldChar w:fldCharType="separate"/>
                </w:r>
                <w:r>
                  <w:t>34</w:t>
                </w:r>
                <w:r>
                  <w:fldChar w:fldCharType="end"/>
                </w:r>
              </w:p>
            </w:txbxContent>
          </v:textbox>
        </v:shape>
      </w:pict>
    </w:r>
  </w:p>
  <w:p>
    <w:pPr>
      <w:pStyle w:val="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left="60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4"/>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ODU3YmE0NmJiMWJhNjNlYzUzNGQwOGYzYTE3NmExMzkifQ=="/>
    <w:docVar w:name="KSO_WPS_MARK_KEY" w:val="1e93f316-99cc-435e-b471-ec3cb5ebb28b"/>
  </w:docVars>
  <w:rsids>
    <w:rsidRoot w:val="3B8D4CCC"/>
    <w:rsid w:val="000011E0"/>
    <w:rsid w:val="000116EC"/>
    <w:rsid w:val="000158BC"/>
    <w:rsid w:val="000211AD"/>
    <w:rsid w:val="00021FFE"/>
    <w:rsid w:val="00033D72"/>
    <w:rsid w:val="00037E0F"/>
    <w:rsid w:val="00037EA4"/>
    <w:rsid w:val="000400BF"/>
    <w:rsid w:val="00042B77"/>
    <w:rsid w:val="00053076"/>
    <w:rsid w:val="0005593B"/>
    <w:rsid w:val="00062B92"/>
    <w:rsid w:val="00066500"/>
    <w:rsid w:val="00075C4F"/>
    <w:rsid w:val="0007615D"/>
    <w:rsid w:val="000820BC"/>
    <w:rsid w:val="00083390"/>
    <w:rsid w:val="00092849"/>
    <w:rsid w:val="00097375"/>
    <w:rsid w:val="000978D4"/>
    <w:rsid w:val="000A4CE1"/>
    <w:rsid w:val="000A6A77"/>
    <w:rsid w:val="000B17F4"/>
    <w:rsid w:val="000C49C7"/>
    <w:rsid w:val="000C501F"/>
    <w:rsid w:val="000D01FA"/>
    <w:rsid w:val="000E4D9F"/>
    <w:rsid w:val="000F40F5"/>
    <w:rsid w:val="000F4CB6"/>
    <w:rsid w:val="001004EE"/>
    <w:rsid w:val="00103581"/>
    <w:rsid w:val="00104FD3"/>
    <w:rsid w:val="00107F2B"/>
    <w:rsid w:val="00110C97"/>
    <w:rsid w:val="00111BA3"/>
    <w:rsid w:val="001233AB"/>
    <w:rsid w:val="0012444A"/>
    <w:rsid w:val="00124821"/>
    <w:rsid w:val="001257A0"/>
    <w:rsid w:val="00130050"/>
    <w:rsid w:val="00130920"/>
    <w:rsid w:val="001375A0"/>
    <w:rsid w:val="00140FA5"/>
    <w:rsid w:val="00144DD2"/>
    <w:rsid w:val="00151DF9"/>
    <w:rsid w:val="00152796"/>
    <w:rsid w:val="001553DC"/>
    <w:rsid w:val="00155E1D"/>
    <w:rsid w:val="00161C65"/>
    <w:rsid w:val="00164EFA"/>
    <w:rsid w:val="00170297"/>
    <w:rsid w:val="00182EBA"/>
    <w:rsid w:val="00192B52"/>
    <w:rsid w:val="001A036F"/>
    <w:rsid w:val="001A0E59"/>
    <w:rsid w:val="001A428E"/>
    <w:rsid w:val="001A4F26"/>
    <w:rsid w:val="001B618C"/>
    <w:rsid w:val="001B7D98"/>
    <w:rsid w:val="001C25A5"/>
    <w:rsid w:val="001C3081"/>
    <w:rsid w:val="001C5287"/>
    <w:rsid w:val="001D7DA0"/>
    <w:rsid w:val="001E1D8A"/>
    <w:rsid w:val="001F0A26"/>
    <w:rsid w:val="001F22EB"/>
    <w:rsid w:val="001F3D41"/>
    <w:rsid w:val="001F5F2F"/>
    <w:rsid w:val="00217C93"/>
    <w:rsid w:val="00221ECE"/>
    <w:rsid w:val="00225DB0"/>
    <w:rsid w:val="00226B44"/>
    <w:rsid w:val="002347E2"/>
    <w:rsid w:val="00241DC7"/>
    <w:rsid w:val="002519D5"/>
    <w:rsid w:val="00254452"/>
    <w:rsid w:val="00257F33"/>
    <w:rsid w:val="0026013E"/>
    <w:rsid w:val="002669F7"/>
    <w:rsid w:val="00273BED"/>
    <w:rsid w:val="00277AD4"/>
    <w:rsid w:val="00292F1A"/>
    <w:rsid w:val="00294E74"/>
    <w:rsid w:val="002953DD"/>
    <w:rsid w:val="002A1FD0"/>
    <w:rsid w:val="002B2A23"/>
    <w:rsid w:val="002C4E61"/>
    <w:rsid w:val="002D23DC"/>
    <w:rsid w:val="002D2DB7"/>
    <w:rsid w:val="002E50D4"/>
    <w:rsid w:val="002F12E1"/>
    <w:rsid w:val="002F7FDB"/>
    <w:rsid w:val="00300A25"/>
    <w:rsid w:val="00305717"/>
    <w:rsid w:val="00310275"/>
    <w:rsid w:val="00326357"/>
    <w:rsid w:val="00346920"/>
    <w:rsid w:val="00350DA3"/>
    <w:rsid w:val="0035607B"/>
    <w:rsid w:val="00367CA7"/>
    <w:rsid w:val="003716D7"/>
    <w:rsid w:val="00372EDD"/>
    <w:rsid w:val="003815B8"/>
    <w:rsid w:val="00387209"/>
    <w:rsid w:val="00394E31"/>
    <w:rsid w:val="003B4021"/>
    <w:rsid w:val="003C284A"/>
    <w:rsid w:val="003D1864"/>
    <w:rsid w:val="003D35C5"/>
    <w:rsid w:val="003E0FD5"/>
    <w:rsid w:val="003E2CCF"/>
    <w:rsid w:val="003E3014"/>
    <w:rsid w:val="003F2D27"/>
    <w:rsid w:val="003F5A8C"/>
    <w:rsid w:val="003F719E"/>
    <w:rsid w:val="00405E49"/>
    <w:rsid w:val="00414A8C"/>
    <w:rsid w:val="004212FF"/>
    <w:rsid w:val="00422F15"/>
    <w:rsid w:val="00425CCC"/>
    <w:rsid w:val="004274EA"/>
    <w:rsid w:val="0043294E"/>
    <w:rsid w:val="004405EC"/>
    <w:rsid w:val="004637FD"/>
    <w:rsid w:val="00465678"/>
    <w:rsid w:val="004679A9"/>
    <w:rsid w:val="00475BA7"/>
    <w:rsid w:val="00481141"/>
    <w:rsid w:val="00482BD7"/>
    <w:rsid w:val="0048640E"/>
    <w:rsid w:val="00496DDB"/>
    <w:rsid w:val="004A3335"/>
    <w:rsid w:val="004A48F1"/>
    <w:rsid w:val="004A7811"/>
    <w:rsid w:val="004B2E0C"/>
    <w:rsid w:val="004B4CCA"/>
    <w:rsid w:val="004C0EC1"/>
    <w:rsid w:val="004E35FE"/>
    <w:rsid w:val="004E486E"/>
    <w:rsid w:val="004E4E96"/>
    <w:rsid w:val="004F1B01"/>
    <w:rsid w:val="004F7308"/>
    <w:rsid w:val="004F7B55"/>
    <w:rsid w:val="00505E8A"/>
    <w:rsid w:val="00521E52"/>
    <w:rsid w:val="00525D23"/>
    <w:rsid w:val="005338B7"/>
    <w:rsid w:val="0055603D"/>
    <w:rsid w:val="005566F9"/>
    <w:rsid w:val="00567FBB"/>
    <w:rsid w:val="00572A00"/>
    <w:rsid w:val="00577995"/>
    <w:rsid w:val="0058259F"/>
    <w:rsid w:val="00583CEB"/>
    <w:rsid w:val="00594BC1"/>
    <w:rsid w:val="00594CDF"/>
    <w:rsid w:val="00597246"/>
    <w:rsid w:val="005973BA"/>
    <w:rsid w:val="005976A2"/>
    <w:rsid w:val="005B0874"/>
    <w:rsid w:val="005B2ACF"/>
    <w:rsid w:val="005B5682"/>
    <w:rsid w:val="005B63B7"/>
    <w:rsid w:val="005E4213"/>
    <w:rsid w:val="005F7813"/>
    <w:rsid w:val="006255AF"/>
    <w:rsid w:val="006255E1"/>
    <w:rsid w:val="00635340"/>
    <w:rsid w:val="00637DDF"/>
    <w:rsid w:val="006406EA"/>
    <w:rsid w:val="00645A63"/>
    <w:rsid w:val="0065085F"/>
    <w:rsid w:val="00651D3E"/>
    <w:rsid w:val="006610C6"/>
    <w:rsid w:val="006619CE"/>
    <w:rsid w:val="006662FC"/>
    <w:rsid w:val="00670142"/>
    <w:rsid w:val="00682FCE"/>
    <w:rsid w:val="006A5D88"/>
    <w:rsid w:val="006C20C3"/>
    <w:rsid w:val="006D02C8"/>
    <w:rsid w:val="006D2EF8"/>
    <w:rsid w:val="006D426C"/>
    <w:rsid w:val="006E2A6C"/>
    <w:rsid w:val="006F5BE7"/>
    <w:rsid w:val="007103EE"/>
    <w:rsid w:val="00712133"/>
    <w:rsid w:val="0071515A"/>
    <w:rsid w:val="00721135"/>
    <w:rsid w:val="00721EE2"/>
    <w:rsid w:val="00734099"/>
    <w:rsid w:val="00740640"/>
    <w:rsid w:val="0074687D"/>
    <w:rsid w:val="00750342"/>
    <w:rsid w:val="00757106"/>
    <w:rsid w:val="00773552"/>
    <w:rsid w:val="007736A4"/>
    <w:rsid w:val="0077516B"/>
    <w:rsid w:val="007B7187"/>
    <w:rsid w:val="007B7EBC"/>
    <w:rsid w:val="007C38A8"/>
    <w:rsid w:val="007D5FD0"/>
    <w:rsid w:val="007D7BAF"/>
    <w:rsid w:val="007F5F30"/>
    <w:rsid w:val="00805F28"/>
    <w:rsid w:val="008129E4"/>
    <w:rsid w:val="00812C04"/>
    <w:rsid w:val="00814C93"/>
    <w:rsid w:val="00817AD7"/>
    <w:rsid w:val="00825C0C"/>
    <w:rsid w:val="00834FF6"/>
    <w:rsid w:val="00840263"/>
    <w:rsid w:val="0084144D"/>
    <w:rsid w:val="00853AB4"/>
    <w:rsid w:val="00853F6D"/>
    <w:rsid w:val="0086702B"/>
    <w:rsid w:val="00871874"/>
    <w:rsid w:val="00873B82"/>
    <w:rsid w:val="0087448A"/>
    <w:rsid w:val="008814D3"/>
    <w:rsid w:val="00893723"/>
    <w:rsid w:val="008B23B2"/>
    <w:rsid w:val="008B4B08"/>
    <w:rsid w:val="008B76A9"/>
    <w:rsid w:val="008C0B75"/>
    <w:rsid w:val="008C599F"/>
    <w:rsid w:val="008D5BA2"/>
    <w:rsid w:val="008E2148"/>
    <w:rsid w:val="008F5818"/>
    <w:rsid w:val="00906852"/>
    <w:rsid w:val="00911D1C"/>
    <w:rsid w:val="00912512"/>
    <w:rsid w:val="00913E56"/>
    <w:rsid w:val="00921B66"/>
    <w:rsid w:val="00926AD6"/>
    <w:rsid w:val="00952581"/>
    <w:rsid w:val="00983EA0"/>
    <w:rsid w:val="00985B67"/>
    <w:rsid w:val="009940EB"/>
    <w:rsid w:val="009B0390"/>
    <w:rsid w:val="009B18AE"/>
    <w:rsid w:val="009C303C"/>
    <w:rsid w:val="009E3D3D"/>
    <w:rsid w:val="009F1DFD"/>
    <w:rsid w:val="009F1FFB"/>
    <w:rsid w:val="009F40BE"/>
    <w:rsid w:val="00A209E2"/>
    <w:rsid w:val="00A46137"/>
    <w:rsid w:val="00A55322"/>
    <w:rsid w:val="00A6615F"/>
    <w:rsid w:val="00A71D7A"/>
    <w:rsid w:val="00A83258"/>
    <w:rsid w:val="00A859BC"/>
    <w:rsid w:val="00A93730"/>
    <w:rsid w:val="00A962CD"/>
    <w:rsid w:val="00AA2334"/>
    <w:rsid w:val="00AA26B8"/>
    <w:rsid w:val="00AA56A2"/>
    <w:rsid w:val="00AB1981"/>
    <w:rsid w:val="00AB23E6"/>
    <w:rsid w:val="00AB70D7"/>
    <w:rsid w:val="00AE5E3D"/>
    <w:rsid w:val="00AF0BAE"/>
    <w:rsid w:val="00B06AAD"/>
    <w:rsid w:val="00B10C50"/>
    <w:rsid w:val="00B1577C"/>
    <w:rsid w:val="00B15B05"/>
    <w:rsid w:val="00B25835"/>
    <w:rsid w:val="00B348B0"/>
    <w:rsid w:val="00B34BEE"/>
    <w:rsid w:val="00B3601C"/>
    <w:rsid w:val="00B40E06"/>
    <w:rsid w:val="00B45D3D"/>
    <w:rsid w:val="00B56E83"/>
    <w:rsid w:val="00B61149"/>
    <w:rsid w:val="00B72C0A"/>
    <w:rsid w:val="00B7300C"/>
    <w:rsid w:val="00B7473F"/>
    <w:rsid w:val="00B81E55"/>
    <w:rsid w:val="00B8271B"/>
    <w:rsid w:val="00B94E51"/>
    <w:rsid w:val="00BB2A36"/>
    <w:rsid w:val="00BC003E"/>
    <w:rsid w:val="00BC591A"/>
    <w:rsid w:val="00BD13D1"/>
    <w:rsid w:val="00BE3431"/>
    <w:rsid w:val="00BE79DD"/>
    <w:rsid w:val="00BF063D"/>
    <w:rsid w:val="00BF6B10"/>
    <w:rsid w:val="00C034F3"/>
    <w:rsid w:val="00C11720"/>
    <w:rsid w:val="00C269AF"/>
    <w:rsid w:val="00C3297B"/>
    <w:rsid w:val="00C379D1"/>
    <w:rsid w:val="00C44378"/>
    <w:rsid w:val="00C501EB"/>
    <w:rsid w:val="00C56606"/>
    <w:rsid w:val="00C61E01"/>
    <w:rsid w:val="00C7382C"/>
    <w:rsid w:val="00C85A22"/>
    <w:rsid w:val="00C916E9"/>
    <w:rsid w:val="00C93580"/>
    <w:rsid w:val="00CA1759"/>
    <w:rsid w:val="00CA1B52"/>
    <w:rsid w:val="00CA3D19"/>
    <w:rsid w:val="00CA4BB8"/>
    <w:rsid w:val="00CA5504"/>
    <w:rsid w:val="00CB7B03"/>
    <w:rsid w:val="00CC22F5"/>
    <w:rsid w:val="00CC2D75"/>
    <w:rsid w:val="00CD0E26"/>
    <w:rsid w:val="00CD1506"/>
    <w:rsid w:val="00CD2198"/>
    <w:rsid w:val="00CD3276"/>
    <w:rsid w:val="00CE6F8C"/>
    <w:rsid w:val="00CF7D52"/>
    <w:rsid w:val="00D02CD1"/>
    <w:rsid w:val="00D268CB"/>
    <w:rsid w:val="00D27227"/>
    <w:rsid w:val="00D36EA6"/>
    <w:rsid w:val="00D475CB"/>
    <w:rsid w:val="00D55B6B"/>
    <w:rsid w:val="00D65B0F"/>
    <w:rsid w:val="00D758F9"/>
    <w:rsid w:val="00D76C63"/>
    <w:rsid w:val="00D82C22"/>
    <w:rsid w:val="00D87246"/>
    <w:rsid w:val="00D97EA4"/>
    <w:rsid w:val="00DA2887"/>
    <w:rsid w:val="00DA5DC7"/>
    <w:rsid w:val="00DB201F"/>
    <w:rsid w:val="00DB550D"/>
    <w:rsid w:val="00DC0488"/>
    <w:rsid w:val="00DC2030"/>
    <w:rsid w:val="00DC32ED"/>
    <w:rsid w:val="00DC452F"/>
    <w:rsid w:val="00DD5436"/>
    <w:rsid w:val="00DF370B"/>
    <w:rsid w:val="00DF6D2B"/>
    <w:rsid w:val="00E025F1"/>
    <w:rsid w:val="00E11435"/>
    <w:rsid w:val="00E23836"/>
    <w:rsid w:val="00E31364"/>
    <w:rsid w:val="00E3372C"/>
    <w:rsid w:val="00E3743F"/>
    <w:rsid w:val="00E424BC"/>
    <w:rsid w:val="00E42C9B"/>
    <w:rsid w:val="00E45DC4"/>
    <w:rsid w:val="00E535E7"/>
    <w:rsid w:val="00E543A2"/>
    <w:rsid w:val="00E61951"/>
    <w:rsid w:val="00E62C09"/>
    <w:rsid w:val="00E64FC1"/>
    <w:rsid w:val="00E715C5"/>
    <w:rsid w:val="00E7449D"/>
    <w:rsid w:val="00E93C31"/>
    <w:rsid w:val="00E93DAE"/>
    <w:rsid w:val="00E94864"/>
    <w:rsid w:val="00E97C6F"/>
    <w:rsid w:val="00EA48A6"/>
    <w:rsid w:val="00EA57C3"/>
    <w:rsid w:val="00EC30B4"/>
    <w:rsid w:val="00ED3F3D"/>
    <w:rsid w:val="00ED69F2"/>
    <w:rsid w:val="00EF4E67"/>
    <w:rsid w:val="00EF54A8"/>
    <w:rsid w:val="00EF72DF"/>
    <w:rsid w:val="00F010AA"/>
    <w:rsid w:val="00F04FF1"/>
    <w:rsid w:val="00F0643C"/>
    <w:rsid w:val="00F16E58"/>
    <w:rsid w:val="00F172D1"/>
    <w:rsid w:val="00F310E6"/>
    <w:rsid w:val="00F335F7"/>
    <w:rsid w:val="00F403BC"/>
    <w:rsid w:val="00F41B28"/>
    <w:rsid w:val="00F53DDD"/>
    <w:rsid w:val="00F60EA7"/>
    <w:rsid w:val="00F62D63"/>
    <w:rsid w:val="00F750AC"/>
    <w:rsid w:val="00F8601C"/>
    <w:rsid w:val="00F95281"/>
    <w:rsid w:val="00F95C03"/>
    <w:rsid w:val="00FA3F05"/>
    <w:rsid w:val="00FA5738"/>
    <w:rsid w:val="00FB58FF"/>
    <w:rsid w:val="00FB7C1E"/>
    <w:rsid w:val="00FC42CE"/>
    <w:rsid w:val="00FD35A6"/>
    <w:rsid w:val="00FD70BC"/>
    <w:rsid w:val="00FE0344"/>
    <w:rsid w:val="00FE31E6"/>
    <w:rsid w:val="00FF054E"/>
    <w:rsid w:val="00FF1920"/>
    <w:rsid w:val="00FF4ECD"/>
    <w:rsid w:val="05766F6C"/>
    <w:rsid w:val="0F0D2216"/>
    <w:rsid w:val="19940776"/>
    <w:rsid w:val="256777FF"/>
    <w:rsid w:val="25D65A7D"/>
    <w:rsid w:val="27A74A76"/>
    <w:rsid w:val="28C15C47"/>
    <w:rsid w:val="297F5466"/>
    <w:rsid w:val="2A1D28D2"/>
    <w:rsid w:val="349E1F2B"/>
    <w:rsid w:val="388145BC"/>
    <w:rsid w:val="3AE5299E"/>
    <w:rsid w:val="3B8D4CCC"/>
    <w:rsid w:val="3C5A6875"/>
    <w:rsid w:val="431852E1"/>
    <w:rsid w:val="45A82767"/>
    <w:rsid w:val="46B85A4B"/>
    <w:rsid w:val="50AA2E1F"/>
    <w:rsid w:val="536E3CD2"/>
    <w:rsid w:val="56DC70C5"/>
    <w:rsid w:val="60F25639"/>
    <w:rsid w:val="66007DCB"/>
    <w:rsid w:val="661835C4"/>
    <w:rsid w:val="67A451A2"/>
    <w:rsid w:val="68FE292B"/>
    <w:rsid w:val="72E54917"/>
    <w:rsid w:val="77B3706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1" w:semiHidden="0" w:name="heading 2"/>
    <w:lsdException w:qFormat="1" w:uiPriority="0" w:name="heading 3"/>
    <w:lsdException w:qFormat="1" w:uiPriority="1"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Courier New" w:cs="Times New Roman"/>
      <w:kern w:val="2"/>
      <w:sz w:val="21"/>
      <w:szCs w:val="21"/>
      <w:lang w:val="en-US" w:eastAsia="zh-CN" w:bidi="ar-SA"/>
    </w:rPr>
  </w:style>
  <w:style w:type="paragraph" w:styleId="4">
    <w:name w:val="heading 2"/>
    <w:basedOn w:val="1"/>
    <w:next w:val="1"/>
    <w:autoRedefine/>
    <w:qFormat/>
    <w:uiPriority w:val="1"/>
    <w:pPr>
      <w:keepNext/>
      <w:keepLines/>
      <w:adjustRightInd w:val="0"/>
      <w:snapToGrid w:val="0"/>
      <w:spacing w:before="260" w:after="260" w:line="416" w:lineRule="auto"/>
      <w:ind w:firstLine="600" w:firstLineChars="200"/>
      <w:outlineLvl w:val="1"/>
    </w:pPr>
    <w:rPr>
      <w:rFonts w:ascii="Arial" w:hAnsi="Arial" w:eastAsia="Symbol"/>
      <w:b/>
      <w:bCs/>
      <w:sz w:val="32"/>
      <w:szCs w:val="32"/>
    </w:rPr>
  </w:style>
  <w:style w:type="paragraph" w:styleId="5">
    <w:name w:val="heading 4"/>
    <w:basedOn w:val="1"/>
    <w:next w:val="1"/>
    <w:autoRedefine/>
    <w:unhideWhenUsed/>
    <w:qFormat/>
    <w:uiPriority w:val="1"/>
    <w:pPr>
      <w:tabs>
        <w:tab w:val="left" w:pos="4392"/>
      </w:tabs>
      <w:kinsoku w:val="0"/>
      <w:spacing w:line="560" w:lineRule="atLeast"/>
      <w:jc w:val="center"/>
      <w:outlineLvl w:val="3"/>
    </w:pPr>
    <w:rPr>
      <w:rFonts w:ascii="仿宋" w:hAnsi="仿宋" w:eastAsia="仿宋" w:cstheme="majorBidi"/>
      <w:b/>
      <w:bCs/>
      <w:sz w:val="32"/>
      <w:szCs w:val="32"/>
    </w:rPr>
  </w:style>
  <w:style w:type="character" w:default="1" w:styleId="12">
    <w:name w:val="Default Paragraph Font"/>
    <w:autoRedefine/>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autoRedefine/>
    <w:qFormat/>
    <w:uiPriority w:val="0"/>
    <w:pPr>
      <w:kinsoku w:val="0"/>
      <w:wordWrap w:val="0"/>
      <w:spacing w:after="0" w:line="560" w:lineRule="atLeast"/>
      <w:ind w:left="0" w:leftChars="0" w:firstLine="643" w:firstLineChars="200"/>
    </w:pPr>
    <w:rPr>
      <w:rFonts w:hint="default" w:ascii="楷体" w:hAnsi="楷体" w:eastAsia="楷体" w:cs="黑体"/>
      <w:b/>
      <w:bCs/>
      <w:sz w:val="32"/>
      <w:szCs w:val="32"/>
    </w:rPr>
  </w:style>
  <w:style w:type="paragraph" w:styleId="3">
    <w:name w:val="Body Text Indent"/>
    <w:basedOn w:val="1"/>
    <w:autoRedefine/>
    <w:qFormat/>
    <w:uiPriority w:val="0"/>
    <w:pPr>
      <w:spacing w:after="120"/>
      <w:ind w:left="420" w:leftChars="200"/>
      <w:jc w:val="left"/>
    </w:pPr>
    <w:rPr>
      <w:rFonts w:hint="eastAsia" w:ascii="宋体" w:hAnsi="宋体" w:eastAsia="宋体"/>
      <w:kern w:val="0"/>
      <w:sz w:val="24"/>
      <w:szCs w:val="24"/>
    </w:rPr>
  </w:style>
  <w:style w:type="paragraph" w:styleId="6">
    <w:name w:val="caption"/>
    <w:basedOn w:val="1"/>
    <w:next w:val="1"/>
    <w:unhideWhenUsed/>
    <w:qFormat/>
    <w:uiPriority w:val="0"/>
    <w:rPr>
      <w:rFonts w:eastAsia="黑体" w:asciiTheme="majorHAnsi" w:hAnsiTheme="majorHAnsi" w:cstheme="majorBidi"/>
      <w:sz w:val="20"/>
      <w:szCs w:val="20"/>
    </w:rPr>
  </w:style>
  <w:style w:type="paragraph" w:styleId="7">
    <w:name w:val="Body Text"/>
    <w:basedOn w:val="1"/>
    <w:autoRedefine/>
    <w:unhideWhenUsed/>
    <w:qFormat/>
    <w:uiPriority w:val="1"/>
    <w:pPr>
      <w:kinsoku w:val="0"/>
      <w:wordWrap w:val="0"/>
      <w:spacing w:line="560" w:lineRule="atLeast"/>
      <w:ind w:firstLine="640" w:firstLineChars="200"/>
    </w:pPr>
    <w:rPr>
      <w:rFonts w:ascii="仿宋" w:hAnsi="仿宋" w:eastAsia="仿宋"/>
      <w:sz w:val="32"/>
      <w:szCs w:val="32"/>
    </w:rPr>
  </w:style>
  <w:style w:type="paragraph" w:styleId="8">
    <w:name w:val="Balloon Text"/>
    <w:basedOn w:val="1"/>
    <w:link w:val="15"/>
    <w:uiPriority w:val="0"/>
    <w:rPr>
      <w:sz w:val="18"/>
      <w:szCs w:val="18"/>
    </w:rPr>
  </w:style>
  <w:style w:type="paragraph" w:styleId="9">
    <w:name w:val="footer"/>
    <w:basedOn w:val="1"/>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10">
    <w:name w:val="header"/>
    <w:basedOn w:val="1"/>
    <w:link w:val="13"/>
    <w:qFormat/>
    <w:uiPriority w:val="0"/>
    <w:pPr>
      <w:pBdr>
        <w:bottom w:val="single" w:color="auto" w:sz="6" w:space="1"/>
      </w:pBdr>
      <w:tabs>
        <w:tab w:val="center" w:pos="4153"/>
        <w:tab w:val="right" w:pos="8306"/>
      </w:tabs>
      <w:snapToGrid w:val="0"/>
      <w:jc w:val="center"/>
    </w:pPr>
    <w:rPr>
      <w:sz w:val="18"/>
      <w:szCs w:val="18"/>
    </w:rPr>
  </w:style>
  <w:style w:type="character" w:customStyle="1" w:styleId="13">
    <w:name w:val="页眉 Char"/>
    <w:basedOn w:val="12"/>
    <w:link w:val="10"/>
    <w:qFormat/>
    <w:uiPriority w:val="0"/>
    <w:rPr>
      <w:rFonts w:ascii="Times New Roman" w:hAnsi="Times New Roman" w:eastAsia="Courier New" w:cs="Times New Roman"/>
      <w:kern w:val="2"/>
      <w:sz w:val="18"/>
      <w:szCs w:val="18"/>
    </w:rPr>
  </w:style>
  <w:style w:type="paragraph" w:customStyle="1" w:styleId="14">
    <w:name w:val="正文首行缩进 21"/>
    <w:basedOn w:val="1"/>
    <w:qFormat/>
    <w:uiPriority w:val="0"/>
    <w:pPr>
      <w:ind w:left="420" w:leftChars="200" w:firstLine="420" w:firstLineChars="200"/>
    </w:pPr>
    <w:rPr>
      <w:rFonts w:cs="Calibri" w:asciiTheme="minorHAnsi" w:hAnsiTheme="minorHAnsi" w:eastAsiaTheme="minorEastAsia"/>
      <w:szCs w:val="24"/>
    </w:rPr>
  </w:style>
  <w:style w:type="character" w:customStyle="1" w:styleId="15">
    <w:name w:val="批注框文本 Char"/>
    <w:basedOn w:val="12"/>
    <w:link w:val="8"/>
    <w:uiPriority w:val="0"/>
    <w:rPr>
      <w:rFonts w:ascii="Times New Roman" w:hAnsi="Times New Roman" w:eastAsia="Courier New" w:cs="Times New Roman"/>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chart" Target="charts/chart2.xml"/><Relationship Id="rId6" Type="http://schemas.openxmlformats.org/officeDocument/2006/relationships/chart" Target="charts/chart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Workbook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2023年</c:v>
                </c:pt>
              </c:strCache>
            </c:strRef>
          </c:tx>
          <c:invertIfNegative val="0"/>
          <c:dLbls>
            <c:delete val="1"/>
          </c:dLbls>
          <c:cat>
            <c:strRef>
              <c:f>Sheet1!$A$2:$A$5</c:f>
              <c:strCache>
                <c:ptCount val="4"/>
                <c:pt idx="0">
                  <c:v>一般公共预算收入</c:v>
                </c:pt>
                <c:pt idx="1">
                  <c:v>事业收入</c:v>
                </c:pt>
                <c:pt idx="2">
                  <c:v>上年结转结余</c:v>
                </c:pt>
                <c:pt idx="3">
                  <c:v>本年收入</c:v>
                </c:pt>
              </c:strCache>
            </c:strRef>
          </c:cat>
          <c:val>
            <c:numRef>
              <c:f>Sheet1!$B$2:$B$5</c:f>
              <c:numCache>
                <c:formatCode>General</c:formatCode>
                <c:ptCount val="4"/>
                <c:pt idx="0">
                  <c:v>11379.6</c:v>
                </c:pt>
                <c:pt idx="1">
                  <c:v>5824.72</c:v>
                </c:pt>
                <c:pt idx="2">
                  <c:v>1775.27</c:v>
                </c:pt>
                <c:pt idx="3">
                  <c:v>17204.31</c:v>
                </c:pt>
              </c:numCache>
            </c:numRef>
          </c:val>
        </c:ser>
        <c:ser>
          <c:idx val="1"/>
          <c:order val="1"/>
          <c:tx>
            <c:strRef>
              <c:f>Sheet1!$C$1</c:f>
              <c:strCache>
                <c:ptCount val="1"/>
                <c:pt idx="0">
                  <c:v>2024年</c:v>
                </c:pt>
              </c:strCache>
            </c:strRef>
          </c:tx>
          <c:invertIfNegative val="0"/>
          <c:dLbls>
            <c:delete val="1"/>
          </c:dLbls>
          <c:cat>
            <c:strRef>
              <c:f>Sheet1!$A$2:$A$5</c:f>
              <c:strCache>
                <c:ptCount val="4"/>
                <c:pt idx="0">
                  <c:v>一般公共预算收入</c:v>
                </c:pt>
                <c:pt idx="1">
                  <c:v>事业收入</c:v>
                </c:pt>
                <c:pt idx="2">
                  <c:v>上年结转结余</c:v>
                </c:pt>
                <c:pt idx="3">
                  <c:v>本年收入</c:v>
                </c:pt>
              </c:strCache>
            </c:strRef>
          </c:cat>
          <c:val>
            <c:numRef>
              <c:f>Sheet1!$C$2:$C$5</c:f>
              <c:numCache>
                <c:formatCode>General</c:formatCode>
                <c:ptCount val="4"/>
                <c:pt idx="0">
                  <c:v>12349.16</c:v>
                </c:pt>
                <c:pt idx="1">
                  <c:v>128222.79</c:v>
                </c:pt>
                <c:pt idx="2">
                  <c:v>305.41</c:v>
                </c:pt>
                <c:pt idx="3">
                  <c:v>142071.95</c:v>
                </c:pt>
              </c:numCache>
            </c:numRef>
          </c:val>
        </c:ser>
        <c:dLbls>
          <c:showLegendKey val="0"/>
          <c:showVal val="0"/>
          <c:showCatName val="0"/>
          <c:showSerName val="0"/>
          <c:showPercent val="0"/>
          <c:showBubbleSize val="0"/>
        </c:dLbls>
        <c:gapWidth val="150"/>
        <c:axId val="154280320"/>
        <c:axId val="154281856"/>
      </c:barChart>
      <c:catAx>
        <c:axId val="154280320"/>
        <c:scaling>
          <c:orientation val="minMax"/>
        </c:scaling>
        <c:delete val="0"/>
        <c:axPos val="b"/>
        <c:majorTickMark val="out"/>
        <c:minorTickMark val="none"/>
        <c:tickLblPos val="nextTo"/>
        <c:txPr>
          <a:bodyPr rot="-6000000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crossAx val="154281856"/>
        <c:crosses val="autoZero"/>
        <c:auto val="1"/>
        <c:lblAlgn val="ctr"/>
        <c:lblOffset val="80"/>
        <c:noMultiLvlLbl val="0"/>
      </c:catAx>
      <c:valAx>
        <c:axId val="154281856"/>
        <c:scaling>
          <c:orientation val="minMax"/>
        </c:scaling>
        <c:delete val="0"/>
        <c:axPos val="l"/>
        <c:majorGridlines/>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154280320"/>
        <c:crosses val="autoZero"/>
        <c:crossBetween val="between"/>
      </c:valAx>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2023年</c:v>
                </c:pt>
              </c:strCache>
            </c:strRef>
          </c:tx>
          <c:invertIfNegative val="0"/>
          <c:dLbls>
            <c:delete val="1"/>
          </c:dLbls>
          <c:cat>
            <c:strRef>
              <c:f>Sheet1!$A$2:$A$4</c:f>
              <c:strCache>
                <c:ptCount val="3"/>
                <c:pt idx="0">
                  <c:v>基本支出</c:v>
                </c:pt>
                <c:pt idx="1">
                  <c:v>项目支出</c:v>
                </c:pt>
                <c:pt idx="2">
                  <c:v>本年支出</c:v>
                </c:pt>
              </c:strCache>
            </c:strRef>
          </c:cat>
          <c:val>
            <c:numRef>
              <c:f>Sheet1!$B$2:$B$4</c:f>
              <c:numCache>
                <c:formatCode>General</c:formatCode>
                <c:ptCount val="3"/>
                <c:pt idx="0">
                  <c:v>17204.31</c:v>
                </c:pt>
                <c:pt idx="1">
                  <c:v>1775.27</c:v>
                </c:pt>
                <c:pt idx="2">
                  <c:v>18979.59</c:v>
                </c:pt>
              </c:numCache>
            </c:numRef>
          </c:val>
        </c:ser>
        <c:ser>
          <c:idx val="1"/>
          <c:order val="1"/>
          <c:tx>
            <c:strRef>
              <c:f>Sheet1!$C$1</c:f>
              <c:strCache>
                <c:ptCount val="1"/>
                <c:pt idx="0">
                  <c:v>2024年</c:v>
                </c:pt>
              </c:strCache>
            </c:strRef>
          </c:tx>
          <c:invertIfNegative val="0"/>
          <c:dLbls>
            <c:delete val="1"/>
          </c:dLbls>
          <c:cat>
            <c:strRef>
              <c:f>Sheet1!$A$2:$A$4</c:f>
              <c:strCache>
                <c:ptCount val="3"/>
                <c:pt idx="0">
                  <c:v>基本支出</c:v>
                </c:pt>
                <c:pt idx="1">
                  <c:v>项目支出</c:v>
                </c:pt>
                <c:pt idx="2">
                  <c:v>本年支出</c:v>
                </c:pt>
              </c:strCache>
            </c:strRef>
          </c:cat>
          <c:val>
            <c:numRef>
              <c:f>Sheet1!$C$2:$C$4</c:f>
              <c:numCache>
                <c:formatCode>General</c:formatCode>
                <c:ptCount val="3"/>
                <c:pt idx="0">
                  <c:v>17867.6</c:v>
                </c:pt>
                <c:pt idx="1">
                  <c:v>124509.76</c:v>
                </c:pt>
                <c:pt idx="2">
                  <c:v>142377.36</c:v>
                </c:pt>
              </c:numCache>
            </c:numRef>
          </c:val>
        </c:ser>
        <c:dLbls>
          <c:showLegendKey val="0"/>
          <c:showVal val="0"/>
          <c:showCatName val="0"/>
          <c:showSerName val="0"/>
          <c:showPercent val="0"/>
          <c:showBubbleSize val="0"/>
        </c:dLbls>
        <c:gapWidth val="150"/>
        <c:axId val="190368384"/>
        <c:axId val="190374272"/>
      </c:barChart>
      <c:catAx>
        <c:axId val="190368384"/>
        <c:scaling>
          <c:orientation val="minMax"/>
        </c:scaling>
        <c:delete val="0"/>
        <c:axPos val="b"/>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190374272"/>
        <c:crosses val="autoZero"/>
        <c:auto val="1"/>
        <c:lblAlgn val="ctr"/>
        <c:lblOffset val="100"/>
        <c:noMultiLvlLbl val="0"/>
      </c:catAx>
      <c:valAx>
        <c:axId val="190374272"/>
        <c:scaling>
          <c:orientation val="minMax"/>
        </c:scaling>
        <c:delete val="0"/>
        <c:axPos val="l"/>
        <c:majorGridlines/>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190368384"/>
        <c:crosses val="autoZero"/>
        <c:crossBetween val="between"/>
      </c:valAx>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txPr>
    <a:bodyPr/>
    <a:lstStyle/>
    <a:p>
      <a:pPr>
        <a:defRPr lang="zh-CN"/>
      </a:pPr>
    </a:p>
  </c:txPr>
  <c:externalData r:id="rId1">
    <c:autoUpdate val="0"/>
  </c:externalData>
</c:chartSpac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4097"/>
    <customShpInfo spid="_x0000_s1026"/>
    <customShpInfo spid="_x0000_s1027"/>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8C77B6C-3222-42D7-9E22-CB26D8A6D021}">
  <ds:schemaRefs/>
</ds:datastoreItem>
</file>

<file path=docProps/app.xml><?xml version="1.0" encoding="utf-8"?>
<Properties xmlns="http://schemas.openxmlformats.org/officeDocument/2006/extended-properties" xmlns:vt="http://schemas.openxmlformats.org/officeDocument/2006/docPropsVTypes">
  <Template>Normal.dotm</Template>
  <Company>Lenovo</Company>
  <Pages>36</Pages>
  <Words>1880</Words>
  <Characters>10718</Characters>
  <Lines>89</Lines>
  <Paragraphs>25</Paragraphs>
  <TotalTime>2</TotalTime>
  <ScaleCrop>false</ScaleCrop>
  <LinksUpToDate>false</LinksUpToDate>
  <CharactersWithSpaces>12573</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2023-02-02T01:44:00Z</dcterms:created>
  <dc:creator>admin</dc:creator>
  <cp:lastModifiedBy>Administrator</cp:lastModifiedBy>
  <dcterms:modified xsi:type="dcterms:W3CDTF">2024-02-23T06:50:00Z</dcterms:modified>
  <cp:revision>68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936CE2B7E2CA499C862A04991AD2C4D5</vt:lpwstr>
  </property>
</Properties>
</file>