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1FCAC">
      <w:pPr>
        <w:pageBreakBefore w:val="0"/>
        <w:kinsoku/>
        <w:wordWrap/>
        <w:overflowPunct/>
        <w:topLinePunct w:val="0"/>
        <w:bidi w:val="0"/>
        <w:spacing w:line="600" w:lineRule="exact"/>
        <w:jc w:val="center"/>
        <w:rPr>
          <w:rFonts w:eastAsia="黑体" w:cs="宋体"/>
          <w:b/>
          <w:sz w:val="52"/>
          <w:szCs w:val="52"/>
          <w:u w:val="none"/>
        </w:rPr>
      </w:pPr>
    </w:p>
    <w:p w14:paraId="2D8CD4E7">
      <w:pPr>
        <w:pageBreakBefore w:val="0"/>
        <w:kinsoku/>
        <w:wordWrap/>
        <w:overflowPunct/>
        <w:topLinePunct w:val="0"/>
        <w:bidi w:val="0"/>
        <w:spacing w:line="600" w:lineRule="exact"/>
        <w:jc w:val="center"/>
        <w:rPr>
          <w:rFonts w:eastAsia="黑体" w:cs="宋体"/>
          <w:b/>
          <w:sz w:val="52"/>
          <w:szCs w:val="52"/>
          <w:u w:val="none"/>
        </w:rPr>
      </w:pPr>
    </w:p>
    <w:p w14:paraId="33FB3852">
      <w:pPr>
        <w:pageBreakBefore w:val="0"/>
        <w:kinsoku/>
        <w:wordWrap/>
        <w:overflowPunct/>
        <w:topLinePunct w:val="0"/>
        <w:bidi w:val="0"/>
        <w:spacing w:line="600" w:lineRule="exact"/>
        <w:jc w:val="left"/>
        <w:rPr>
          <w:rFonts w:ascii="黑体" w:hAnsi="黑体" w:eastAsia="黑体" w:cs="黑体"/>
          <w:b/>
          <w:bCs/>
          <w:sz w:val="32"/>
          <w:szCs w:val="32"/>
          <w:u w:val="none"/>
        </w:rPr>
      </w:pPr>
    </w:p>
    <w:p w14:paraId="28F4FE9B">
      <w:pPr>
        <w:pageBreakBefore w:val="0"/>
        <w:kinsoku/>
        <w:wordWrap/>
        <w:overflowPunct/>
        <w:topLinePunct w:val="0"/>
        <w:bidi w:val="0"/>
        <w:spacing w:line="600" w:lineRule="exact"/>
        <w:jc w:val="left"/>
        <w:rPr>
          <w:rFonts w:ascii="Arial" w:hAnsi="Arial" w:eastAsia="Symbol"/>
          <w:b/>
          <w:bCs/>
          <w:sz w:val="32"/>
          <w:szCs w:val="32"/>
          <w:u w:val="none"/>
        </w:rPr>
      </w:pPr>
    </w:p>
    <w:p w14:paraId="2A73363D">
      <w:pPr>
        <w:pageBreakBefore w:val="0"/>
        <w:kinsoku/>
        <w:wordWrap/>
        <w:overflowPunct/>
        <w:topLinePunct w:val="0"/>
        <w:bidi w:val="0"/>
        <w:spacing w:line="600" w:lineRule="exact"/>
        <w:jc w:val="center"/>
        <w:rPr>
          <w:rFonts w:ascii="Arial" w:hAnsi="Arial" w:eastAsia="宋体"/>
          <w:b/>
          <w:bCs/>
          <w:sz w:val="32"/>
          <w:szCs w:val="32"/>
          <w:u w:val="none"/>
        </w:rPr>
      </w:pPr>
    </w:p>
    <w:p w14:paraId="57FBE5CB">
      <w:pPr>
        <w:pageBreakBefore w:val="0"/>
        <w:kinsoku/>
        <w:wordWrap/>
        <w:overflowPunct/>
        <w:topLinePunct w:val="0"/>
        <w:bidi w:val="0"/>
        <w:spacing w:line="600" w:lineRule="exact"/>
        <w:jc w:val="center"/>
        <w:rPr>
          <w:rFonts w:ascii="Arial" w:hAnsi="Arial" w:eastAsia="宋体"/>
          <w:b/>
          <w:bCs/>
          <w:sz w:val="32"/>
          <w:szCs w:val="32"/>
          <w:u w:val="none"/>
        </w:rPr>
      </w:pPr>
    </w:p>
    <w:p w14:paraId="01A7EEA6">
      <w:pPr>
        <w:pageBreakBefore w:val="0"/>
        <w:kinsoku/>
        <w:wordWrap/>
        <w:overflowPunct/>
        <w:topLinePunct w:val="0"/>
        <w:bidi w:val="0"/>
        <w:spacing w:line="600" w:lineRule="exact"/>
        <w:jc w:val="center"/>
        <w:rPr>
          <w:rFonts w:ascii="Arial" w:hAnsi="Arial" w:eastAsia="宋体"/>
          <w:b/>
          <w:bCs/>
          <w:sz w:val="32"/>
          <w:szCs w:val="32"/>
          <w:u w:val="none"/>
        </w:rPr>
      </w:pPr>
    </w:p>
    <w:p w14:paraId="153B3118">
      <w:pPr>
        <w:pageBreakBefore w:val="0"/>
        <w:kinsoku/>
        <w:wordWrap/>
        <w:overflowPunct/>
        <w:topLinePunct w:val="0"/>
        <w:bidi w:val="0"/>
        <w:spacing w:line="600" w:lineRule="exact"/>
        <w:jc w:val="center"/>
        <w:rPr>
          <w:rFonts w:hint="eastAsia" w:ascii="方正小标宋简体" w:hAnsi="方正小标宋简体" w:eastAsia="方正小标宋简体" w:cs="方正小标宋简体"/>
          <w:b w:val="0"/>
          <w:bCs w:val="0"/>
          <w:sz w:val="44"/>
          <w:szCs w:val="44"/>
          <w:u w:val="none"/>
        </w:rPr>
      </w:pPr>
      <w:r>
        <w:rPr>
          <w:rFonts w:hint="eastAsia" w:ascii="仿宋" w:hAnsi="仿宋" w:eastAsia="仿宋" w:cs="仿宋"/>
          <w:b w:val="0"/>
          <w:bCs w:val="0"/>
          <w:sz w:val="44"/>
          <w:szCs w:val="44"/>
          <w:u w:val="none"/>
          <w:lang w:val="en-US" w:eastAsia="zh-CN"/>
        </w:rPr>
        <w:t>2025</w:t>
      </w:r>
      <w:r>
        <w:rPr>
          <w:rFonts w:hint="eastAsia" w:ascii="仿宋" w:hAnsi="仿宋" w:eastAsia="仿宋" w:cs="仿宋"/>
          <w:b w:val="0"/>
          <w:bCs w:val="0"/>
          <w:sz w:val="44"/>
          <w:szCs w:val="44"/>
          <w:u w:val="none"/>
        </w:rPr>
        <w:t>年度</w:t>
      </w:r>
      <w:r>
        <w:rPr>
          <w:rFonts w:hint="eastAsia" w:ascii="仿宋" w:hAnsi="仿宋" w:eastAsia="仿宋" w:cs="仿宋"/>
          <w:b w:val="0"/>
          <w:bCs w:val="0"/>
          <w:sz w:val="44"/>
          <w:szCs w:val="44"/>
          <w:u w:val="none"/>
          <w:lang w:val="en-US" w:eastAsia="zh-CN"/>
        </w:rPr>
        <w:t>包头市第八医院</w:t>
      </w:r>
      <w:r>
        <w:rPr>
          <w:rFonts w:hint="eastAsia" w:ascii="仿宋" w:hAnsi="仿宋" w:eastAsia="仿宋" w:cs="仿宋"/>
          <w:b w:val="0"/>
          <w:bCs w:val="0"/>
          <w:sz w:val="44"/>
          <w:szCs w:val="44"/>
          <w:u w:val="none"/>
        </w:rPr>
        <w:t>预算公开</w:t>
      </w:r>
    </w:p>
    <w:p w14:paraId="5CB3E17D">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271628C4">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0C83C55B">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3C228E49">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171727BD">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3A46A13B">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2C802A8E">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3EF8B59C">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374143DD">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085AB6FA">
      <w:pPr>
        <w:pageBreakBefore w:val="0"/>
        <w:kinsoku/>
        <w:wordWrap/>
        <w:overflowPunct/>
        <w:topLinePunct w:val="0"/>
        <w:bidi w:val="0"/>
        <w:adjustRightInd w:val="0"/>
        <w:snapToGrid w:val="0"/>
        <w:spacing w:line="600" w:lineRule="exact"/>
        <w:rPr>
          <w:rFonts w:hint="eastAsia" w:ascii="黑体" w:hAnsi="黑体" w:eastAsia="黑体" w:cs="黑体"/>
          <w:sz w:val="32"/>
          <w:szCs w:val="32"/>
          <w:u w:val="none"/>
        </w:rPr>
      </w:pPr>
    </w:p>
    <w:p w14:paraId="39452F69">
      <w:pPr>
        <w:pageBreakBefore w:val="0"/>
        <w:kinsoku/>
        <w:wordWrap/>
        <w:overflowPunct/>
        <w:topLinePunct w:val="0"/>
        <w:bidi w:val="0"/>
        <w:adjustRightInd w:val="0"/>
        <w:snapToGrid w:val="0"/>
        <w:spacing w:line="600" w:lineRule="exact"/>
        <w:jc w:val="center"/>
        <w:rPr>
          <w:rFonts w:ascii="黑体" w:hAnsi="黑体" w:eastAsia="黑体" w:cs="黑体"/>
          <w:sz w:val="32"/>
          <w:szCs w:val="32"/>
          <w:u w:val="none"/>
        </w:rPr>
      </w:pPr>
      <w:r>
        <w:rPr>
          <w:rFonts w:hint="eastAsia" w:ascii="黑体" w:hAnsi="黑体" w:eastAsia="黑体" w:cs="黑体"/>
          <w:sz w:val="32"/>
          <w:szCs w:val="32"/>
          <w:u w:val="none"/>
        </w:rPr>
        <w:t>批复时间：</w:t>
      </w:r>
      <w:r>
        <w:rPr>
          <w:rFonts w:hint="eastAsia" w:ascii="黑体" w:hAnsi="黑体" w:eastAsia="黑体" w:cs="黑体"/>
          <w:sz w:val="32"/>
          <w:szCs w:val="32"/>
          <w:u w:val="none"/>
          <w:lang w:val="en-US" w:eastAsia="zh-CN"/>
        </w:rPr>
        <w:t>2025</w:t>
      </w:r>
      <w:r>
        <w:rPr>
          <w:rFonts w:hint="eastAsia" w:ascii="黑体" w:hAnsi="黑体" w:eastAsia="黑体" w:cs="黑体"/>
          <w:sz w:val="32"/>
          <w:szCs w:val="32"/>
          <w:u w:val="none"/>
        </w:rPr>
        <w:t>年</w:t>
      </w:r>
      <w:r>
        <w:rPr>
          <w:rFonts w:hint="eastAsia" w:ascii="黑体" w:hAnsi="黑体" w:eastAsia="黑体" w:cs="黑体"/>
          <w:sz w:val="32"/>
          <w:szCs w:val="32"/>
          <w:u w:val="none"/>
          <w:lang w:val="en-US" w:eastAsia="zh-CN"/>
        </w:rPr>
        <w:t>1</w:t>
      </w:r>
      <w:r>
        <w:rPr>
          <w:rFonts w:hint="eastAsia" w:ascii="黑体" w:hAnsi="黑体" w:eastAsia="黑体" w:cs="黑体"/>
          <w:sz w:val="32"/>
          <w:szCs w:val="32"/>
          <w:u w:val="none"/>
        </w:rPr>
        <w:t>月</w:t>
      </w:r>
      <w:r>
        <w:rPr>
          <w:rFonts w:hint="eastAsia" w:ascii="黑体" w:hAnsi="黑体" w:eastAsia="黑体" w:cs="黑体"/>
          <w:sz w:val="32"/>
          <w:szCs w:val="32"/>
          <w:u w:val="none"/>
          <w:lang w:val="en-US" w:eastAsia="zh-CN"/>
        </w:rPr>
        <w:t>15</w:t>
      </w:r>
      <w:r>
        <w:rPr>
          <w:rFonts w:hint="eastAsia" w:ascii="黑体" w:hAnsi="黑体" w:eastAsia="黑体" w:cs="黑体"/>
          <w:sz w:val="32"/>
          <w:szCs w:val="32"/>
          <w:u w:val="none"/>
        </w:rPr>
        <w:t>日</w:t>
      </w:r>
    </w:p>
    <w:p w14:paraId="062FB809">
      <w:pPr>
        <w:pStyle w:val="2"/>
        <w:pageBreakBefore w:val="0"/>
        <w:kinsoku/>
        <w:wordWrap/>
        <w:overflowPunct/>
        <w:topLinePunct w:val="0"/>
        <w:bidi w:val="0"/>
        <w:spacing w:after="0" w:line="600" w:lineRule="exact"/>
        <w:ind w:left="0" w:leftChars="0" w:firstLine="0" w:firstLineChars="0"/>
        <w:jc w:val="center"/>
        <w:rPr>
          <w:rFonts w:hint="default" w:ascii="黑体" w:hAnsi="黑体" w:eastAsia="黑体" w:cs="黑体"/>
          <w:u w:val="none"/>
        </w:rPr>
      </w:pPr>
      <w:r>
        <w:rPr>
          <w:rFonts w:ascii="黑体" w:hAnsi="黑体" w:eastAsia="黑体" w:cs="黑体"/>
          <w:sz w:val="32"/>
          <w:szCs w:val="32"/>
          <w:u w:val="none"/>
        </w:rPr>
        <w:t>公开时间：</w:t>
      </w:r>
      <w:r>
        <w:rPr>
          <w:rFonts w:hint="eastAsia" w:ascii="黑体" w:hAnsi="黑体" w:eastAsia="黑体" w:cs="黑体"/>
          <w:sz w:val="32"/>
          <w:szCs w:val="32"/>
          <w:u w:val="none"/>
          <w:lang w:val="en-US" w:eastAsia="zh-CN"/>
        </w:rPr>
        <w:t>2025</w:t>
      </w:r>
      <w:r>
        <w:rPr>
          <w:rFonts w:ascii="黑体" w:hAnsi="黑体" w:eastAsia="黑体" w:cs="黑体"/>
          <w:sz w:val="32"/>
          <w:szCs w:val="32"/>
          <w:u w:val="none"/>
        </w:rPr>
        <w:t>年</w:t>
      </w:r>
      <w:r>
        <w:rPr>
          <w:rFonts w:hint="eastAsia" w:ascii="黑体" w:hAnsi="黑体" w:eastAsia="黑体" w:cs="黑体"/>
          <w:sz w:val="32"/>
          <w:szCs w:val="32"/>
          <w:u w:val="none"/>
          <w:lang w:val="en-US" w:eastAsia="zh-CN"/>
        </w:rPr>
        <w:t>1</w:t>
      </w:r>
      <w:r>
        <w:rPr>
          <w:rFonts w:ascii="黑体" w:hAnsi="黑体" w:eastAsia="黑体" w:cs="黑体"/>
          <w:sz w:val="32"/>
          <w:szCs w:val="32"/>
          <w:u w:val="none"/>
        </w:rPr>
        <w:t>月</w:t>
      </w:r>
      <w:r>
        <w:rPr>
          <w:rFonts w:hint="eastAsia" w:ascii="黑体" w:hAnsi="黑体" w:eastAsia="黑体" w:cs="黑体"/>
          <w:sz w:val="32"/>
          <w:szCs w:val="32"/>
          <w:u w:val="none"/>
          <w:lang w:val="en-US" w:eastAsia="zh-CN"/>
        </w:rPr>
        <w:t>23</w:t>
      </w:r>
      <w:r>
        <w:rPr>
          <w:rFonts w:ascii="黑体" w:hAnsi="黑体" w:eastAsia="黑体" w:cs="黑体"/>
          <w:sz w:val="32"/>
          <w:szCs w:val="32"/>
          <w:u w:val="none"/>
        </w:rPr>
        <w:t>日</w:t>
      </w:r>
    </w:p>
    <w:p w14:paraId="063EF0BA">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3A21FEEF">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29767387">
      <w:pPr>
        <w:pageBreakBefore w:val="0"/>
        <w:kinsoku/>
        <w:wordWrap/>
        <w:overflowPunct/>
        <w:topLinePunct w:val="0"/>
        <w:bidi w:val="0"/>
        <w:adjustRightInd w:val="0"/>
        <w:snapToGrid w:val="0"/>
        <w:spacing w:line="600" w:lineRule="exact"/>
        <w:ind w:firstLine="640"/>
        <w:rPr>
          <w:rFonts w:ascii="仿宋" w:hAnsi="仿宋" w:eastAsia="仿宋"/>
          <w:sz w:val="32"/>
          <w:szCs w:val="32"/>
          <w:u w:val="none"/>
        </w:rPr>
      </w:pPr>
    </w:p>
    <w:p w14:paraId="6552DBAA">
      <w:pPr>
        <w:pStyle w:val="5"/>
        <w:pageBreakBefore w:val="0"/>
        <w:tabs>
          <w:tab w:val="left" w:pos="4533"/>
        </w:tabs>
        <w:kinsoku/>
        <w:wordWrap/>
        <w:overflowPunct/>
        <w:topLinePunct w:val="0"/>
        <w:bidi w:val="0"/>
        <w:spacing w:before="0" w:after="0" w:line="600" w:lineRule="exact"/>
        <w:ind w:firstLine="0" w:firstLineChars="0"/>
        <w:jc w:val="center"/>
        <w:rPr>
          <w:sz w:val="44"/>
          <w:szCs w:val="44"/>
          <w:u w:val="none"/>
        </w:rPr>
      </w:pPr>
      <w:r>
        <w:rPr>
          <w:sz w:val="44"/>
          <w:szCs w:val="44"/>
          <w:u w:val="none"/>
        </w:rPr>
        <w:t>目</w:t>
      </w:r>
      <w:r>
        <w:rPr>
          <w:rFonts w:hint="eastAsia" w:eastAsia="宋体"/>
          <w:sz w:val="44"/>
          <w:szCs w:val="44"/>
          <w:u w:val="none"/>
        </w:rPr>
        <w:t xml:space="preserve">  </w:t>
      </w:r>
      <w:r>
        <w:rPr>
          <w:rFonts w:hint="eastAsia"/>
          <w:sz w:val="44"/>
          <w:szCs w:val="44"/>
          <w:u w:val="none"/>
        </w:rPr>
        <w:t xml:space="preserve"> </w:t>
      </w:r>
      <w:r>
        <w:rPr>
          <w:sz w:val="44"/>
          <w:szCs w:val="44"/>
          <w:u w:val="none"/>
        </w:rPr>
        <w:t>录</w:t>
      </w:r>
    </w:p>
    <w:p w14:paraId="7D1A3002">
      <w:pPr>
        <w:rPr>
          <w:u w:val="none"/>
        </w:rPr>
      </w:pPr>
    </w:p>
    <w:p w14:paraId="5D8B4383">
      <w:pPr>
        <w:pStyle w:val="10"/>
        <w:pageBreakBefore w:val="0"/>
        <w:kinsoku/>
        <w:wordWrap/>
        <w:overflowPunct/>
        <w:topLinePunct w:val="0"/>
        <w:bidi w:val="0"/>
        <w:spacing w:after="0" w:line="600" w:lineRule="exact"/>
        <w:rPr>
          <w:rFonts w:ascii="黑体" w:hAnsi="黑体" w:eastAsia="黑体" w:cs="黑体"/>
          <w:sz w:val="32"/>
          <w:szCs w:val="32"/>
          <w:u w:val="none"/>
        </w:rPr>
      </w:pPr>
      <w:r>
        <w:rPr>
          <w:rFonts w:hint="eastAsia" w:ascii="黑体" w:hAnsi="黑体" w:eastAsia="黑体" w:cs="黑体"/>
          <w:sz w:val="32"/>
          <w:szCs w:val="32"/>
          <w:u w:val="none"/>
        </w:rPr>
        <w:t>第一部分 单位概况</w:t>
      </w:r>
    </w:p>
    <w:p w14:paraId="1D24DBD5">
      <w:pPr>
        <w:pStyle w:val="10"/>
        <w:pageBreakBefore w:val="0"/>
        <w:kinsoku/>
        <w:wordWrap/>
        <w:overflowPunct/>
        <w:topLinePunct w:val="0"/>
        <w:bidi w:val="0"/>
        <w:spacing w:after="0" w:line="600" w:lineRule="exact"/>
        <w:rPr>
          <w:rFonts w:ascii="仿宋" w:hAnsi="仿宋" w:eastAsia="仿宋" w:cs="仿宋"/>
          <w:sz w:val="32"/>
          <w:szCs w:val="32"/>
          <w:highlight w:val="yellow"/>
          <w:u w:val="none"/>
        </w:rPr>
      </w:pPr>
      <w:r>
        <w:rPr>
          <w:rFonts w:hint="eastAsia" w:ascii="仿宋" w:hAnsi="仿宋" w:eastAsia="仿宋" w:cs="仿宋"/>
          <w:w w:val="95"/>
          <w:sz w:val="32"/>
          <w:szCs w:val="32"/>
          <w:u w:val="none"/>
        </w:rPr>
        <w:t>一、主要职能、职责</w:t>
      </w:r>
    </w:p>
    <w:p w14:paraId="416D13F5">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二、</w:t>
      </w:r>
      <w:r>
        <w:rPr>
          <w:rFonts w:hint="eastAsia" w:ascii="仿宋" w:hAnsi="仿宋" w:eastAsia="仿宋" w:cs="仿宋"/>
          <w:sz w:val="32"/>
          <w:szCs w:val="32"/>
          <w:u w:val="none"/>
          <w:lang w:eastAsia="zh-CN"/>
        </w:rPr>
        <w:t>单位</w:t>
      </w:r>
      <w:r>
        <w:rPr>
          <w:rFonts w:hint="eastAsia" w:ascii="仿宋" w:hAnsi="仿宋" w:eastAsia="仿宋" w:cs="仿宋"/>
          <w:sz w:val="32"/>
          <w:szCs w:val="32"/>
          <w:u w:val="none"/>
        </w:rPr>
        <w:t>机构设置及预算单位构成情况</w:t>
      </w:r>
    </w:p>
    <w:p w14:paraId="67B15423">
      <w:pPr>
        <w:pStyle w:val="10"/>
        <w:pageBreakBefore w:val="0"/>
        <w:kinsoku/>
        <w:wordWrap/>
        <w:overflowPunct/>
        <w:topLinePunct w:val="0"/>
        <w:bidi w:val="0"/>
        <w:spacing w:after="0" w:line="600" w:lineRule="exact"/>
        <w:rPr>
          <w:rFonts w:ascii="黑体" w:hAnsi="黑体" w:eastAsia="黑体" w:cs="黑体"/>
          <w:sz w:val="32"/>
          <w:szCs w:val="32"/>
          <w:u w:val="none"/>
        </w:rPr>
      </w:pPr>
      <w:r>
        <w:rPr>
          <w:rFonts w:hint="eastAsia" w:ascii="仿宋" w:hAnsi="仿宋" w:eastAsia="仿宋" w:cs="仿宋"/>
          <w:sz w:val="32"/>
          <w:szCs w:val="32"/>
          <w:u w:val="none"/>
        </w:rPr>
        <w:t>三、</w:t>
      </w:r>
      <w:r>
        <w:rPr>
          <w:rFonts w:hint="eastAsia" w:ascii="仿宋" w:hAnsi="仿宋" w:eastAsia="仿宋" w:cs="仿宋"/>
          <w:sz w:val="32"/>
          <w:szCs w:val="32"/>
          <w:u w:val="none"/>
          <w:lang w:val="en-US" w:eastAsia="zh-CN"/>
        </w:rPr>
        <w:t>2025</w:t>
      </w:r>
      <w:r>
        <w:rPr>
          <w:rFonts w:hint="eastAsia" w:ascii="仿宋" w:hAnsi="仿宋" w:eastAsia="仿宋" w:cs="仿宋"/>
          <w:sz w:val="32"/>
          <w:szCs w:val="32"/>
          <w:u w:val="none"/>
        </w:rPr>
        <w:t>年度</w:t>
      </w:r>
      <w:r>
        <w:rPr>
          <w:rFonts w:hint="eastAsia" w:ascii="仿宋" w:hAnsi="仿宋" w:eastAsia="仿宋" w:cs="仿宋"/>
          <w:sz w:val="32"/>
          <w:szCs w:val="32"/>
          <w:u w:val="none"/>
          <w:lang w:eastAsia="zh-CN"/>
        </w:rPr>
        <w:t>单位</w:t>
      </w:r>
      <w:r>
        <w:rPr>
          <w:rFonts w:hint="eastAsia" w:ascii="仿宋" w:hAnsi="仿宋" w:eastAsia="仿宋" w:cs="仿宋"/>
          <w:sz w:val="32"/>
          <w:szCs w:val="32"/>
          <w:u w:val="none"/>
        </w:rPr>
        <w:t>主要工作任务及目标</w:t>
      </w:r>
    </w:p>
    <w:p w14:paraId="0C744881">
      <w:pPr>
        <w:pStyle w:val="10"/>
        <w:pageBreakBefore w:val="0"/>
        <w:kinsoku/>
        <w:wordWrap/>
        <w:overflowPunct/>
        <w:topLinePunct w:val="0"/>
        <w:bidi w:val="0"/>
        <w:spacing w:after="0" w:line="600" w:lineRule="exact"/>
        <w:rPr>
          <w:rFonts w:ascii="黑体" w:hAnsi="黑体" w:eastAsia="黑体" w:cs="黑体"/>
          <w:sz w:val="32"/>
          <w:szCs w:val="32"/>
          <w:u w:val="none"/>
        </w:rPr>
      </w:pPr>
      <w:r>
        <w:rPr>
          <w:rFonts w:hint="eastAsia" w:ascii="黑体" w:hAnsi="黑体" w:eastAsia="黑体" w:cs="黑体"/>
          <w:sz w:val="32"/>
          <w:szCs w:val="32"/>
          <w:u w:val="none"/>
        </w:rPr>
        <w:t xml:space="preserve">第二部分 </w:t>
      </w:r>
      <w:r>
        <w:rPr>
          <w:rFonts w:hint="eastAsia" w:ascii="黑体" w:hAnsi="黑体" w:eastAsia="黑体" w:cs="黑体"/>
          <w:sz w:val="32"/>
          <w:szCs w:val="32"/>
          <w:u w:val="none"/>
          <w:lang w:val="en-US" w:eastAsia="zh-CN"/>
        </w:rPr>
        <w:t>2025</w:t>
      </w:r>
      <w:r>
        <w:rPr>
          <w:rFonts w:hint="eastAsia" w:ascii="黑体" w:hAnsi="黑体" w:eastAsia="黑体" w:cs="黑体"/>
          <w:sz w:val="32"/>
          <w:szCs w:val="32"/>
          <w:u w:val="none"/>
        </w:rPr>
        <w:t>年度单位预算情况说明</w:t>
      </w:r>
    </w:p>
    <w:p w14:paraId="65483793">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一、收支预算总体情况说明</w:t>
      </w:r>
    </w:p>
    <w:p w14:paraId="6B551BB1">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二、收入预算情况说明</w:t>
      </w:r>
    </w:p>
    <w:p w14:paraId="051443F4">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三、支出预算情况说明</w:t>
      </w:r>
    </w:p>
    <w:p w14:paraId="19221DF1">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四、财政拨款收支预算总体情况说明</w:t>
      </w:r>
    </w:p>
    <w:p w14:paraId="37AA9AE0">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五、一般公共预算支出预算情况说明</w:t>
      </w:r>
    </w:p>
    <w:p w14:paraId="617D7D27">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六、一般公共预算基本支出预算情况说明</w:t>
      </w:r>
    </w:p>
    <w:p w14:paraId="13ADD0F1">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七、一般公共预算“三公”经费支出预算情况说明</w:t>
      </w:r>
    </w:p>
    <w:p w14:paraId="71942019">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八、政府性基金预算支出预算情况说明</w:t>
      </w:r>
    </w:p>
    <w:p w14:paraId="6C682878">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九、国有资本经营预算支出预算情况说明</w:t>
      </w:r>
    </w:p>
    <w:p w14:paraId="70CB3105">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十、项目支出预算情况说明</w:t>
      </w:r>
    </w:p>
    <w:p w14:paraId="7679E93B">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十一、一般公共预算机关运行经费支出预算情况说明</w:t>
      </w:r>
    </w:p>
    <w:p w14:paraId="5D32C39F">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十二、政府采购支出预算情况说明</w:t>
      </w:r>
    </w:p>
    <w:p w14:paraId="1AA603A3">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十三、国有资产占用情况说明</w:t>
      </w:r>
    </w:p>
    <w:p w14:paraId="446BB220">
      <w:pPr>
        <w:pageBreakBefore w:val="0"/>
        <w:widowControl/>
        <w:kinsoku/>
        <w:wordWrap/>
        <w:overflowPunct/>
        <w:topLinePunct w:val="0"/>
        <w:bidi w:val="0"/>
        <w:spacing w:line="600" w:lineRule="exact"/>
        <w:jc w:val="left"/>
        <w:rPr>
          <w:rFonts w:ascii="仿宋" w:hAnsi="仿宋" w:eastAsia="仿宋" w:cs="仿宋"/>
          <w:sz w:val="32"/>
          <w:szCs w:val="32"/>
          <w:u w:val="none"/>
        </w:rPr>
      </w:pPr>
      <w:r>
        <w:rPr>
          <w:rFonts w:hint="eastAsia" w:ascii="仿宋" w:hAnsi="仿宋" w:eastAsia="仿宋" w:cs="仿宋"/>
          <w:sz w:val="32"/>
          <w:szCs w:val="32"/>
          <w:u w:val="none"/>
        </w:rPr>
        <w:t xml:space="preserve">十四、项目绩效目标情况说明 </w:t>
      </w:r>
    </w:p>
    <w:p w14:paraId="78D91E91">
      <w:pPr>
        <w:pStyle w:val="10"/>
        <w:pageBreakBefore w:val="0"/>
        <w:kinsoku/>
        <w:wordWrap/>
        <w:overflowPunct/>
        <w:topLinePunct w:val="0"/>
        <w:bidi w:val="0"/>
        <w:spacing w:after="0" w:line="600" w:lineRule="exact"/>
        <w:rPr>
          <w:rFonts w:ascii="黑体" w:hAnsi="黑体" w:eastAsia="黑体" w:cs="黑体"/>
          <w:sz w:val="32"/>
          <w:szCs w:val="32"/>
          <w:u w:val="none"/>
        </w:rPr>
      </w:pPr>
      <w:r>
        <w:rPr>
          <w:rFonts w:hint="eastAsia" w:ascii="黑体" w:hAnsi="黑体" w:eastAsia="黑体" w:cs="黑体"/>
          <w:sz w:val="32"/>
          <w:szCs w:val="32"/>
          <w:u w:val="none"/>
        </w:rPr>
        <w:t>第三部分 名词解释</w:t>
      </w:r>
    </w:p>
    <w:p w14:paraId="17D80BEF">
      <w:pPr>
        <w:pStyle w:val="10"/>
        <w:pageBreakBefore w:val="0"/>
        <w:kinsoku/>
        <w:wordWrap/>
        <w:overflowPunct/>
        <w:topLinePunct w:val="0"/>
        <w:bidi w:val="0"/>
        <w:spacing w:after="0" w:line="600" w:lineRule="exact"/>
        <w:rPr>
          <w:rFonts w:ascii="黑体" w:hAnsi="黑体" w:eastAsia="黑体" w:cs="黑体"/>
          <w:sz w:val="32"/>
          <w:szCs w:val="32"/>
          <w:u w:val="none"/>
        </w:rPr>
      </w:pPr>
      <w:r>
        <w:rPr>
          <w:rFonts w:hint="eastAsia" w:ascii="黑体" w:hAnsi="黑体" w:eastAsia="黑体" w:cs="黑体"/>
          <w:sz w:val="32"/>
          <w:szCs w:val="32"/>
          <w:u w:val="none"/>
        </w:rPr>
        <w:t>第四部分 预算公开联系方式及信息反馈渠道</w:t>
      </w:r>
    </w:p>
    <w:p w14:paraId="4CFE50D8">
      <w:pPr>
        <w:pStyle w:val="10"/>
        <w:pageBreakBefore w:val="0"/>
        <w:kinsoku/>
        <w:wordWrap/>
        <w:overflowPunct/>
        <w:topLinePunct w:val="0"/>
        <w:bidi w:val="0"/>
        <w:spacing w:after="0" w:line="600" w:lineRule="exact"/>
        <w:rPr>
          <w:rFonts w:ascii="黑体" w:hAnsi="黑体" w:eastAsia="黑体" w:cs="黑体"/>
          <w:sz w:val="32"/>
          <w:szCs w:val="32"/>
          <w:u w:val="none"/>
        </w:rPr>
      </w:pPr>
      <w:r>
        <w:rPr>
          <w:rFonts w:hint="eastAsia" w:ascii="黑体" w:hAnsi="黑体" w:eastAsia="黑体" w:cs="黑体"/>
          <w:sz w:val="32"/>
          <w:szCs w:val="32"/>
          <w:u w:val="none"/>
        </w:rPr>
        <w:t xml:space="preserve">第五部分 </w:t>
      </w:r>
      <w:r>
        <w:rPr>
          <w:rFonts w:hint="eastAsia" w:ascii="黑体" w:hAnsi="黑体" w:eastAsia="黑体" w:cs="黑体"/>
          <w:sz w:val="32"/>
          <w:szCs w:val="32"/>
          <w:u w:val="none"/>
          <w:lang w:val="en-US" w:eastAsia="zh-CN"/>
        </w:rPr>
        <w:t>2025</w:t>
      </w:r>
      <w:r>
        <w:rPr>
          <w:rFonts w:hint="eastAsia" w:ascii="黑体" w:hAnsi="黑体" w:eastAsia="黑体" w:cs="黑体"/>
          <w:sz w:val="32"/>
          <w:szCs w:val="32"/>
          <w:u w:val="none"/>
        </w:rPr>
        <w:t>年度单位预算表</w:t>
      </w:r>
    </w:p>
    <w:p w14:paraId="57CF1C3A">
      <w:pPr>
        <w:pStyle w:val="10"/>
        <w:pageBreakBefore w:val="0"/>
        <w:numPr>
          <w:ilvl w:val="0"/>
          <w:numId w:val="1"/>
        </w:numPr>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收支总表</w:t>
      </w:r>
    </w:p>
    <w:p w14:paraId="15EB02E5">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二、收入总表</w:t>
      </w:r>
    </w:p>
    <w:p w14:paraId="4435CE80">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w w:val="95"/>
          <w:sz w:val="32"/>
          <w:szCs w:val="32"/>
          <w:u w:val="none"/>
        </w:rPr>
        <w:t>三、支出总表</w:t>
      </w:r>
    </w:p>
    <w:p w14:paraId="31A863D7">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w w:val="95"/>
          <w:sz w:val="32"/>
          <w:szCs w:val="32"/>
          <w:u w:val="none"/>
        </w:rPr>
        <w:t>四、财政拨款收支总表</w:t>
      </w:r>
    </w:p>
    <w:p w14:paraId="5F572672">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w w:val="95"/>
          <w:sz w:val="32"/>
          <w:szCs w:val="32"/>
          <w:u w:val="none"/>
        </w:rPr>
        <w:t>五、一般公共预算支出表</w:t>
      </w:r>
    </w:p>
    <w:p w14:paraId="3699AF22">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w w:val="95"/>
          <w:sz w:val="32"/>
          <w:szCs w:val="32"/>
          <w:u w:val="none"/>
        </w:rPr>
        <w:t>六、一般公共预算基本支出表</w:t>
      </w:r>
    </w:p>
    <w:p w14:paraId="685AFF1D">
      <w:pPr>
        <w:pStyle w:val="10"/>
        <w:pageBreakBefore w:val="0"/>
        <w:kinsoku/>
        <w:wordWrap/>
        <w:overflowPunct/>
        <w:topLinePunct w:val="0"/>
        <w:bidi w:val="0"/>
        <w:spacing w:after="0" w:line="600" w:lineRule="exact"/>
        <w:rPr>
          <w:rFonts w:ascii="仿宋" w:hAnsi="仿宋" w:eastAsia="仿宋" w:cs="仿宋"/>
          <w:spacing w:val="-16"/>
          <w:w w:val="95"/>
          <w:sz w:val="32"/>
          <w:szCs w:val="32"/>
          <w:u w:val="none"/>
        </w:rPr>
      </w:pPr>
      <w:r>
        <w:rPr>
          <w:rFonts w:hint="eastAsia" w:ascii="仿宋" w:hAnsi="仿宋" w:eastAsia="仿宋" w:cs="仿宋"/>
          <w:spacing w:val="-17"/>
          <w:w w:val="95"/>
          <w:sz w:val="32"/>
          <w:szCs w:val="32"/>
          <w:u w:val="none"/>
        </w:rPr>
        <w:t>七、一般公共预算</w:t>
      </w:r>
      <w:r>
        <w:rPr>
          <w:rFonts w:hint="eastAsia" w:ascii="仿宋" w:hAnsi="仿宋" w:eastAsia="仿宋" w:cs="仿宋"/>
          <w:spacing w:val="-8"/>
          <w:w w:val="95"/>
          <w:sz w:val="32"/>
          <w:szCs w:val="32"/>
          <w:u w:val="none"/>
        </w:rPr>
        <w:t>“</w:t>
      </w:r>
      <w:r>
        <w:rPr>
          <w:rFonts w:hint="eastAsia" w:ascii="仿宋" w:hAnsi="仿宋" w:eastAsia="仿宋" w:cs="仿宋"/>
          <w:spacing w:val="-15"/>
          <w:w w:val="95"/>
          <w:sz w:val="32"/>
          <w:szCs w:val="32"/>
          <w:u w:val="none"/>
        </w:rPr>
        <w:t>三公</w:t>
      </w:r>
      <w:r>
        <w:rPr>
          <w:rFonts w:hint="eastAsia" w:ascii="仿宋" w:hAnsi="仿宋" w:eastAsia="仿宋" w:cs="仿宋"/>
          <w:spacing w:val="-10"/>
          <w:w w:val="95"/>
          <w:sz w:val="32"/>
          <w:szCs w:val="32"/>
          <w:u w:val="none"/>
        </w:rPr>
        <w:t>”</w:t>
      </w:r>
      <w:r>
        <w:rPr>
          <w:rFonts w:hint="eastAsia" w:ascii="仿宋" w:hAnsi="仿宋" w:eastAsia="仿宋" w:cs="仿宋"/>
          <w:spacing w:val="-16"/>
          <w:w w:val="95"/>
          <w:sz w:val="32"/>
          <w:szCs w:val="32"/>
          <w:u w:val="none"/>
        </w:rPr>
        <w:t>经费支出表</w:t>
      </w:r>
    </w:p>
    <w:p w14:paraId="3D27B819">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pacing w:val="-16"/>
          <w:w w:val="95"/>
          <w:sz w:val="32"/>
          <w:szCs w:val="32"/>
          <w:u w:val="none"/>
        </w:rPr>
        <w:t>八、政府性基金预算支出表</w:t>
      </w:r>
    </w:p>
    <w:p w14:paraId="1BBAF677">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九、国有资本经营预算支出表</w:t>
      </w:r>
    </w:p>
    <w:p w14:paraId="6E5B41E5">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十、项目支出表</w:t>
      </w:r>
    </w:p>
    <w:p w14:paraId="2F06DAE8">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sz w:val="32"/>
          <w:szCs w:val="32"/>
          <w:u w:val="none"/>
        </w:rPr>
        <w:t>十一、项目绩效目标表</w:t>
      </w:r>
    </w:p>
    <w:p w14:paraId="7DBB2B60">
      <w:pPr>
        <w:pStyle w:val="10"/>
        <w:pageBreakBefore w:val="0"/>
        <w:kinsoku/>
        <w:wordWrap/>
        <w:overflowPunct/>
        <w:topLinePunct w:val="0"/>
        <w:bidi w:val="0"/>
        <w:spacing w:after="0" w:line="600" w:lineRule="exact"/>
        <w:rPr>
          <w:rFonts w:ascii="仿宋" w:hAnsi="仿宋" w:eastAsia="仿宋" w:cs="仿宋"/>
          <w:sz w:val="32"/>
          <w:szCs w:val="32"/>
          <w:u w:val="none"/>
        </w:rPr>
      </w:pPr>
      <w:r>
        <w:rPr>
          <w:rFonts w:hint="eastAsia" w:ascii="仿宋" w:hAnsi="仿宋" w:eastAsia="仿宋" w:cs="仿宋"/>
          <w:w w:val="95"/>
          <w:sz w:val="32"/>
          <w:szCs w:val="32"/>
          <w:u w:val="none"/>
        </w:rPr>
        <w:t>十二、政府采购预算表</w:t>
      </w:r>
    </w:p>
    <w:p w14:paraId="64B7EC4F">
      <w:pPr>
        <w:pStyle w:val="2"/>
        <w:pageBreakBefore w:val="0"/>
        <w:kinsoku/>
        <w:wordWrap/>
        <w:overflowPunct/>
        <w:topLinePunct w:val="0"/>
        <w:bidi w:val="0"/>
        <w:spacing w:after="0" w:line="600" w:lineRule="exact"/>
        <w:rPr>
          <w:rFonts w:hint="default"/>
          <w:u w:val="none"/>
        </w:rPr>
        <w:sectPr>
          <w:headerReference r:id="rId3" w:type="default"/>
          <w:footerReference r:id="rId4" w:type="default"/>
          <w:pgSz w:w="11910" w:h="16840"/>
          <w:pgMar w:top="1582" w:right="1680" w:bottom="278" w:left="1640" w:header="720" w:footer="720" w:gutter="0"/>
          <w:pgNumType w:fmt="numberInDash"/>
          <w:cols w:space="0" w:num="1"/>
        </w:sectPr>
      </w:pPr>
    </w:p>
    <w:p w14:paraId="705D7916">
      <w:pPr>
        <w:pStyle w:val="7"/>
        <w:pageBreakBefore w:val="0"/>
        <w:tabs>
          <w:tab w:val="left" w:pos="4392"/>
        </w:tabs>
        <w:kinsoku/>
        <w:wordWrap/>
        <w:overflowPunct/>
        <w:topLinePunct w:val="0"/>
        <w:bidi w:val="0"/>
        <w:spacing w:before="0" w:after="0" w:line="600" w:lineRule="exact"/>
        <w:jc w:val="center"/>
        <w:rPr>
          <w:rFonts w:hint="eastAsia" w:ascii="方正小标宋简体" w:hAnsi="方正小标宋简体" w:eastAsia="方正小标宋简体" w:cs="方正小标宋简体"/>
          <w:b w:val="0"/>
          <w:bCs w:val="0"/>
          <w:sz w:val="36"/>
          <w:szCs w:val="36"/>
          <w:u w:val="none"/>
        </w:rPr>
      </w:pPr>
      <w:r>
        <w:rPr>
          <w:rFonts w:hint="eastAsia" w:ascii="方正小标宋简体" w:hAnsi="方正小标宋简体" w:eastAsia="方正小标宋简体" w:cs="方正小标宋简体"/>
          <w:b w:val="0"/>
          <w:bCs w:val="0"/>
          <w:sz w:val="36"/>
          <w:szCs w:val="36"/>
          <w:u w:val="none"/>
        </w:rPr>
        <w:t>第一部分  单位概况</w:t>
      </w:r>
    </w:p>
    <w:p w14:paraId="549174BC">
      <w:pPr>
        <w:pageBreakBefore w:val="0"/>
        <w:kinsoku/>
        <w:wordWrap/>
        <w:overflowPunct/>
        <w:topLinePunct w:val="0"/>
        <w:bidi w:val="0"/>
        <w:spacing w:line="600" w:lineRule="exact"/>
        <w:rPr>
          <w:rFonts w:hint="eastAsia" w:ascii="方正小标宋简体" w:hAnsi="方正小标宋简体" w:eastAsia="方正小标宋简体" w:cs="方正小标宋简体"/>
          <w:sz w:val="36"/>
          <w:szCs w:val="36"/>
          <w:u w:val="none"/>
        </w:rPr>
      </w:pPr>
    </w:p>
    <w:p w14:paraId="2B622D58">
      <w:pPr>
        <w:pageBreakBefore w:val="0"/>
        <w:numPr>
          <w:ilvl w:val="0"/>
          <w:numId w:val="2"/>
        </w:numPr>
        <w:kinsoku/>
        <w:wordWrap/>
        <w:overflowPunct/>
        <w:topLinePunct w:val="0"/>
        <w:bidi w:val="0"/>
        <w:spacing w:line="600" w:lineRule="exact"/>
        <w:ind w:left="17" w:leftChars="8" w:firstLine="624" w:firstLineChars="195"/>
        <w:outlineLvl w:val="0"/>
        <w:rPr>
          <w:rFonts w:hint="eastAsia" w:eastAsia="黑体" w:cs="黑体"/>
          <w:b w:val="0"/>
          <w:bCs w:val="0"/>
          <w:sz w:val="32"/>
          <w:szCs w:val="36"/>
          <w:u w:val="none"/>
        </w:rPr>
      </w:pPr>
      <w:r>
        <w:rPr>
          <w:rFonts w:hint="eastAsia" w:eastAsia="黑体" w:cs="黑体"/>
          <w:b w:val="0"/>
          <w:bCs w:val="0"/>
          <w:sz w:val="32"/>
          <w:szCs w:val="36"/>
          <w:u w:val="none"/>
        </w:rPr>
        <w:t>主要职能职责</w:t>
      </w:r>
    </w:p>
    <w:p w14:paraId="52848363">
      <w:pPr>
        <w:pStyle w:val="10"/>
        <w:pageBreakBefore w:val="0"/>
        <w:widowControl w:val="0"/>
        <w:tabs>
          <w:tab w:val="left" w:pos="2671"/>
          <w:tab w:val="left" w:pos="5000"/>
          <w:tab w:val="left" w:pos="6190"/>
        </w:tabs>
        <w:kinsoku/>
        <w:wordWrap/>
        <w:overflowPunct/>
        <w:topLinePunct w:val="0"/>
        <w:bidi w:val="0"/>
        <w:spacing w:after="0" w:line="560" w:lineRule="exact"/>
        <w:ind w:firstLine="643" w:firstLineChars="200"/>
        <w:textAlignment w:val="auto"/>
        <w:rPr>
          <w:rFonts w:ascii="楷体" w:hAnsi="楷体" w:eastAsia="楷体" w:cs="楷体"/>
          <w:b/>
          <w:bCs/>
          <w:sz w:val="32"/>
          <w:szCs w:val="32"/>
          <w:u w:val="none"/>
        </w:rPr>
      </w:pPr>
      <w:r>
        <w:rPr>
          <w:rFonts w:ascii="楷体" w:hAnsi="楷体" w:eastAsia="楷体" w:cs="楷体"/>
          <w:b/>
          <w:bCs/>
          <w:sz w:val="32"/>
          <w:szCs w:val="32"/>
          <w:u w:val="none"/>
        </w:rPr>
        <w:t>（一）主要职能</w:t>
      </w:r>
    </w:p>
    <w:p w14:paraId="6B23D39D">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根据《包头机构编制委员会文件》（包机编发〔2006〕54号），将包头市第八医院移交包头市人民政府，包头市铁路医院更名为包头市第八医院。</w:t>
      </w:r>
    </w:p>
    <w:p w14:paraId="0ECF546D">
      <w:pPr>
        <w:pStyle w:val="10"/>
        <w:pageBreakBefore w:val="0"/>
        <w:widowControl w:val="0"/>
        <w:tabs>
          <w:tab w:val="left" w:pos="2671"/>
          <w:tab w:val="left" w:pos="5000"/>
          <w:tab w:val="left" w:pos="6190"/>
        </w:tabs>
        <w:kinsoku/>
        <w:wordWrap/>
        <w:overflowPunct/>
        <w:topLinePunct w:val="0"/>
        <w:bidi w:val="0"/>
        <w:spacing w:after="0" w:line="560" w:lineRule="exact"/>
        <w:ind w:firstLine="643" w:firstLineChars="200"/>
        <w:textAlignment w:val="auto"/>
        <w:rPr>
          <w:rFonts w:ascii="楷体" w:hAnsi="楷体" w:eastAsia="楷体" w:cs="楷体"/>
          <w:b/>
          <w:bCs/>
          <w:sz w:val="32"/>
          <w:szCs w:val="32"/>
          <w:u w:val="none"/>
        </w:rPr>
      </w:pPr>
      <w:r>
        <w:rPr>
          <w:rFonts w:ascii="楷体" w:hAnsi="楷体" w:eastAsia="楷体" w:cs="楷体"/>
          <w:b/>
          <w:bCs/>
          <w:sz w:val="32"/>
          <w:szCs w:val="32"/>
          <w:u w:val="none"/>
        </w:rPr>
        <w:t>（二）主要职责</w:t>
      </w:r>
    </w:p>
    <w:p w14:paraId="733359F2">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包头市第八医院是纳入包头市卫生健康委员会预算范围内的预算单位。医院提供区域医疗卫生服务，具有医疗、教学、科研、预防、康复、健康管理及公共卫生服务的医疗机构。其主要职能：</w:t>
      </w:r>
    </w:p>
    <w:p w14:paraId="5D7CAAD3">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1、提供专科（包括特殊专科）医疗服务。</w:t>
      </w:r>
    </w:p>
    <w:p w14:paraId="2F9CBC56">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2、解决急危重症和疑难复杂疾病诊治。</w:t>
      </w:r>
    </w:p>
    <w:p w14:paraId="468EFAB0">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3、落实分级诊疗制度。</w:t>
      </w:r>
    </w:p>
    <w:p w14:paraId="6CFB1720">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4、对下级医院进行业务技术指导和人才培养。</w:t>
      </w:r>
    </w:p>
    <w:p w14:paraId="04A98F5E">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5、参与预防工作。</w:t>
      </w:r>
    </w:p>
    <w:p w14:paraId="141C57AE">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6、承担健康管理工作。</w:t>
      </w:r>
    </w:p>
    <w:p w14:paraId="518B66A6">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7、承担医疗临床实验工作。</w:t>
      </w:r>
    </w:p>
    <w:p w14:paraId="2C767199">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8、承担自然灾害和突发公共卫生事件医疗救治工作。</w:t>
      </w:r>
    </w:p>
    <w:p w14:paraId="568DB1FF">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u w:val="none"/>
        </w:rPr>
      </w:pPr>
      <w:r>
        <w:rPr>
          <w:rFonts w:hint="eastAsia" w:ascii="仿宋" w:hAnsi="仿宋" w:eastAsia="仿宋" w:cs="仿宋"/>
          <w:sz w:val="32"/>
          <w:szCs w:val="32"/>
          <w:u w:val="none"/>
          <w:lang w:val="en-US" w:eastAsia="zh-CN"/>
        </w:rPr>
        <w:t>9、承担各级政府交办的其它工作。</w:t>
      </w:r>
    </w:p>
    <w:p w14:paraId="7A7D7CD3">
      <w:pPr>
        <w:pageBreakBefore w:val="0"/>
        <w:kinsoku/>
        <w:wordWrap/>
        <w:overflowPunct/>
        <w:topLinePunct w:val="0"/>
        <w:bidi w:val="0"/>
        <w:spacing w:line="600" w:lineRule="exact"/>
        <w:ind w:firstLine="640" w:firstLineChars="200"/>
        <w:outlineLvl w:val="0"/>
        <w:rPr>
          <w:rFonts w:hint="eastAsia" w:eastAsia="仿宋_GB2312" w:cstheme="minorBidi"/>
          <w:sz w:val="32"/>
          <w:szCs w:val="32"/>
          <w:highlight w:val="yellow"/>
          <w:u w:val="none"/>
        </w:rPr>
      </w:pPr>
      <w:r>
        <w:rPr>
          <w:rFonts w:hint="eastAsia" w:eastAsia="黑体" w:cs="黑体"/>
          <w:b w:val="0"/>
          <w:bCs w:val="0"/>
          <w:sz w:val="32"/>
          <w:szCs w:val="36"/>
          <w:u w:val="none"/>
        </w:rPr>
        <w:t>二、</w:t>
      </w:r>
      <w:r>
        <w:rPr>
          <w:rFonts w:hint="eastAsia" w:eastAsia="黑体" w:cs="黑体"/>
          <w:b w:val="0"/>
          <w:bCs w:val="0"/>
          <w:sz w:val="32"/>
          <w:szCs w:val="36"/>
          <w:u w:val="none"/>
          <w:lang w:eastAsia="zh-CN"/>
        </w:rPr>
        <w:t>单位</w:t>
      </w:r>
      <w:r>
        <w:rPr>
          <w:rFonts w:hint="eastAsia" w:eastAsia="黑体" w:cs="黑体"/>
          <w:b w:val="0"/>
          <w:bCs w:val="0"/>
          <w:sz w:val="32"/>
          <w:szCs w:val="36"/>
          <w:u w:val="none"/>
        </w:rPr>
        <w:t>机构设置及预算单位构成情况</w:t>
      </w:r>
    </w:p>
    <w:p w14:paraId="36780E60">
      <w:pPr>
        <w:pageBreakBefore w:val="0"/>
        <w:numPr>
          <w:ilvl w:val="0"/>
          <w:numId w:val="3"/>
        </w:numPr>
        <w:kinsoku/>
        <w:wordWrap/>
        <w:overflowPunct/>
        <w:topLinePunct w:val="0"/>
        <w:bidi w:val="0"/>
        <w:spacing w:line="600" w:lineRule="exact"/>
        <w:ind w:firstLine="640" w:firstLineChars="200"/>
        <w:rPr>
          <w:rFonts w:hint="eastAsia" w:ascii="仿宋" w:hAnsi="仿宋" w:eastAsia="仿宋" w:cs="仿宋"/>
          <w:kern w:val="2"/>
          <w:sz w:val="32"/>
          <w:szCs w:val="32"/>
          <w:u w:val="none"/>
          <w:lang w:val="en-US" w:eastAsia="zh-CN" w:bidi="ar-SA"/>
        </w:rPr>
      </w:pPr>
      <w:r>
        <w:rPr>
          <w:rFonts w:hint="eastAsia" w:ascii="仿宋" w:hAnsi="仿宋" w:eastAsia="仿宋" w:cs="仿宋"/>
          <w:kern w:val="2"/>
          <w:sz w:val="32"/>
          <w:szCs w:val="32"/>
          <w:u w:val="none"/>
          <w:lang w:val="en-US" w:eastAsia="zh-CN" w:bidi="ar-SA"/>
        </w:rPr>
        <w:t>根据单位职责分工，本单位内设机构包括感染性疾病科、预防保健科、急诊医学科、外科（整形外科专业、普通外科专业、神经外科专业、骨科专业、泌尿外科专业、胸外科专业、心脏大血管专业）、内科（呼吸内科专业、消化内科专业、神经内科专业、心血管内科专业、肾病学专业【血液透析室】、重症医学科、内分泌专业、老年病专业、血液病专业、免疫学专业）、妇产科（妇科专业、产科专业、计划生育专业）、妇女保健科、儿科（新生儿专业）、儿童保健科、肿瘤科、口腔科、耳鼻喉科、中医科、中西医结合科、皮肤科、康复医学科、眼科、医疗美容科（牙齿美容专业、皮肤美容专业、美容中医专业、美容外科专业【一级、二级、三级、四级】）、医学检验科（临床体液血液专业、临床微生物专业、临床生化专业、临床免疫血清专业、临床细胞分子遗传学专业【临床基因扩增检验】）、医学影像科、麻醉科、病理科、疼痛科门诊、健康体检科以及行政职能科室。本单位无下属单位。</w:t>
      </w:r>
    </w:p>
    <w:p w14:paraId="4B0BED95">
      <w:pPr>
        <w:pageBreakBefore w:val="0"/>
        <w:numPr>
          <w:ilvl w:val="0"/>
          <w:numId w:val="3"/>
        </w:numPr>
        <w:kinsoku/>
        <w:wordWrap/>
        <w:overflowPunct/>
        <w:topLinePunct w:val="0"/>
        <w:bidi w:val="0"/>
        <w:spacing w:line="600" w:lineRule="exact"/>
        <w:ind w:firstLine="640" w:firstLineChars="200"/>
        <w:rPr>
          <w:rFonts w:hint="eastAsia" w:ascii="仿宋" w:hAnsi="仿宋" w:eastAsia="仿宋" w:cs="仿宋"/>
          <w:kern w:val="2"/>
          <w:sz w:val="32"/>
          <w:szCs w:val="32"/>
          <w:u w:val="none"/>
          <w:lang w:val="en-US" w:eastAsia="zh-CN" w:bidi="ar-SA"/>
        </w:rPr>
      </w:pPr>
      <w:r>
        <w:rPr>
          <w:rFonts w:hint="eastAsia" w:ascii="仿宋" w:hAnsi="仿宋" w:eastAsia="仿宋" w:cs="仿宋"/>
          <w:kern w:val="2"/>
          <w:sz w:val="32"/>
          <w:szCs w:val="32"/>
          <w:u w:val="none"/>
          <w:lang w:val="en-US" w:eastAsia="zh-CN" w:bidi="ar-SA"/>
        </w:rPr>
        <w:t>从预算单位构成看，纳入本单位2025年部门汇总预算编制范围的预算单位共计1家，具体包括：包头市第八医院。</w:t>
      </w:r>
    </w:p>
    <w:p w14:paraId="2E225D39">
      <w:pPr>
        <w:pageBreakBefore w:val="0"/>
        <w:tabs>
          <w:tab w:val="left" w:pos="3532"/>
        </w:tabs>
        <w:kinsoku/>
        <w:wordWrap/>
        <w:overflowPunct/>
        <w:topLinePunct w:val="0"/>
        <w:autoSpaceDE w:val="0"/>
        <w:autoSpaceDN w:val="0"/>
        <w:bidi w:val="0"/>
        <w:adjustRightInd w:val="0"/>
        <w:spacing w:line="600" w:lineRule="exact"/>
        <w:jc w:val="center"/>
        <w:rPr>
          <w:rFonts w:hint="eastAsia" w:ascii="仿宋_GB2312" w:hAnsi="仿宋_GB2312" w:eastAsia="仿宋_GB2312" w:cs="仿宋_GB2312"/>
          <w:b/>
          <w:bCs/>
          <w:sz w:val="32"/>
          <w:szCs w:val="32"/>
          <w:u w:val="none"/>
        </w:rPr>
      </w:pPr>
      <w:r>
        <w:rPr>
          <w:rFonts w:hint="eastAsia" w:ascii="仿宋_GB2312" w:hAnsi="仿宋_GB2312" w:eastAsia="仿宋_GB2312" w:cs="仿宋_GB2312"/>
          <w:b/>
          <w:bCs/>
          <w:sz w:val="32"/>
          <w:szCs w:val="32"/>
          <w:u w:val="none"/>
        </w:rPr>
        <w:t>单位情况表</w:t>
      </w:r>
    </w:p>
    <w:tbl>
      <w:tblPr>
        <w:tblStyle w:val="19"/>
        <w:tblpPr w:leftFromText="180" w:rightFromText="180" w:vertAnchor="text" w:horzAnchor="page" w:tblpX="1211" w:tblpY="239"/>
        <w:tblOverlap w:val="never"/>
        <w:tblW w:w="9758" w:type="dxa"/>
        <w:tblInd w:w="0" w:type="dxa"/>
        <w:tblLayout w:type="fixed"/>
        <w:tblCellMar>
          <w:top w:w="0" w:type="dxa"/>
          <w:left w:w="108" w:type="dxa"/>
          <w:bottom w:w="0" w:type="dxa"/>
          <w:right w:w="108" w:type="dxa"/>
        </w:tblCellMar>
      </w:tblPr>
      <w:tblGrid>
        <w:gridCol w:w="914"/>
        <w:gridCol w:w="4221"/>
        <w:gridCol w:w="4623"/>
      </w:tblGrid>
      <w:tr w14:paraId="04E50356">
        <w:tblPrEx>
          <w:tblCellMar>
            <w:top w:w="0" w:type="dxa"/>
            <w:left w:w="108" w:type="dxa"/>
            <w:bottom w:w="0" w:type="dxa"/>
            <w:right w:w="108" w:type="dxa"/>
          </w:tblCellMar>
        </w:tblPrEx>
        <w:trPr>
          <w:trHeight w:val="586" w:hRule="atLeast"/>
        </w:trPr>
        <w:tc>
          <w:tcPr>
            <w:tcW w:w="914" w:type="dxa"/>
            <w:tcBorders>
              <w:top w:val="single" w:color="auto" w:sz="4" w:space="0"/>
              <w:left w:val="single" w:color="auto" w:sz="4" w:space="0"/>
              <w:bottom w:val="single" w:color="auto" w:sz="4" w:space="0"/>
              <w:right w:val="single" w:color="auto" w:sz="4" w:space="0"/>
            </w:tcBorders>
            <w:vAlign w:val="center"/>
          </w:tcPr>
          <w:p w14:paraId="785D788F">
            <w:pPr>
              <w:pageBreakBefore w:val="0"/>
              <w:widowControl/>
              <w:kinsoku/>
              <w:wordWrap/>
              <w:overflowPunct/>
              <w:topLinePunct w:val="0"/>
              <w:bidi w:val="0"/>
              <w:spacing w:line="600" w:lineRule="exact"/>
              <w:jc w:val="center"/>
              <w:rPr>
                <w:rFonts w:ascii="仿宋" w:hAnsi="仿宋" w:eastAsia="仿宋" w:cs="仿宋"/>
                <w:kern w:val="0"/>
                <w:sz w:val="30"/>
                <w:szCs w:val="30"/>
                <w:u w:val="none"/>
              </w:rPr>
            </w:pPr>
            <w:r>
              <w:rPr>
                <w:rFonts w:hint="eastAsia" w:ascii="仿宋" w:hAnsi="仿宋" w:eastAsia="仿宋" w:cs="仿宋"/>
                <w:kern w:val="0"/>
                <w:sz w:val="30"/>
                <w:szCs w:val="30"/>
                <w:u w:val="none"/>
              </w:rPr>
              <w:t>序号</w:t>
            </w:r>
          </w:p>
        </w:tc>
        <w:tc>
          <w:tcPr>
            <w:tcW w:w="4221" w:type="dxa"/>
            <w:tcBorders>
              <w:top w:val="single" w:color="auto" w:sz="4" w:space="0"/>
              <w:left w:val="nil"/>
              <w:bottom w:val="single" w:color="auto" w:sz="4" w:space="0"/>
              <w:right w:val="single" w:color="auto" w:sz="4" w:space="0"/>
            </w:tcBorders>
            <w:vAlign w:val="center"/>
          </w:tcPr>
          <w:p w14:paraId="0AEA9773">
            <w:pPr>
              <w:pageBreakBefore w:val="0"/>
              <w:widowControl/>
              <w:kinsoku/>
              <w:wordWrap/>
              <w:overflowPunct/>
              <w:topLinePunct w:val="0"/>
              <w:bidi w:val="0"/>
              <w:spacing w:line="600" w:lineRule="exact"/>
              <w:jc w:val="center"/>
              <w:rPr>
                <w:rFonts w:ascii="仿宋" w:hAnsi="仿宋" w:eastAsia="仿宋" w:cs="仿宋"/>
                <w:kern w:val="0"/>
                <w:sz w:val="30"/>
                <w:szCs w:val="30"/>
                <w:u w:val="none"/>
              </w:rPr>
            </w:pPr>
            <w:r>
              <w:rPr>
                <w:rFonts w:hint="eastAsia" w:ascii="仿宋" w:hAnsi="仿宋" w:eastAsia="仿宋" w:cs="仿宋"/>
                <w:kern w:val="0"/>
                <w:sz w:val="30"/>
                <w:szCs w:val="30"/>
                <w:u w:val="none"/>
              </w:rPr>
              <w:t>单位名称</w:t>
            </w:r>
          </w:p>
        </w:tc>
        <w:tc>
          <w:tcPr>
            <w:tcW w:w="4623" w:type="dxa"/>
            <w:tcBorders>
              <w:top w:val="single" w:color="auto" w:sz="4" w:space="0"/>
              <w:left w:val="nil"/>
              <w:bottom w:val="single" w:color="auto" w:sz="4" w:space="0"/>
              <w:right w:val="single" w:color="auto" w:sz="4" w:space="0"/>
            </w:tcBorders>
            <w:vAlign w:val="center"/>
          </w:tcPr>
          <w:p w14:paraId="0E009F0D">
            <w:pPr>
              <w:pageBreakBefore w:val="0"/>
              <w:widowControl/>
              <w:kinsoku/>
              <w:wordWrap/>
              <w:overflowPunct/>
              <w:topLinePunct w:val="0"/>
              <w:bidi w:val="0"/>
              <w:spacing w:line="600" w:lineRule="exact"/>
              <w:jc w:val="center"/>
              <w:rPr>
                <w:rFonts w:ascii="仿宋" w:hAnsi="仿宋" w:eastAsia="仿宋" w:cs="仿宋"/>
                <w:kern w:val="0"/>
                <w:sz w:val="30"/>
                <w:szCs w:val="30"/>
                <w:u w:val="none"/>
              </w:rPr>
            </w:pPr>
            <w:r>
              <w:rPr>
                <w:rFonts w:hint="eastAsia" w:ascii="仿宋" w:hAnsi="仿宋" w:eastAsia="仿宋" w:cs="仿宋"/>
                <w:kern w:val="0"/>
                <w:sz w:val="30"/>
                <w:szCs w:val="30"/>
                <w:u w:val="none"/>
              </w:rPr>
              <w:t>单位性质</w:t>
            </w:r>
          </w:p>
        </w:tc>
      </w:tr>
      <w:tr w14:paraId="42603F45">
        <w:tblPrEx>
          <w:tblCellMar>
            <w:top w:w="0" w:type="dxa"/>
            <w:left w:w="108" w:type="dxa"/>
            <w:bottom w:w="0" w:type="dxa"/>
            <w:right w:w="108" w:type="dxa"/>
          </w:tblCellMar>
        </w:tblPrEx>
        <w:trPr>
          <w:trHeight w:val="595" w:hRule="atLeast"/>
        </w:trPr>
        <w:tc>
          <w:tcPr>
            <w:tcW w:w="914" w:type="dxa"/>
            <w:tcBorders>
              <w:top w:val="nil"/>
              <w:left w:val="single" w:color="auto" w:sz="4" w:space="0"/>
              <w:bottom w:val="single" w:color="auto" w:sz="4" w:space="0"/>
              <w:right w:val="single" w:color="auto" w:sz="4" w:space="0"/>
            </w:tcBorders>
            <w:vAlign w:val="center"/>
          </w:tcPr>
          <w:p w14:paraId="14191560">
            <w:pPr>
              <w:pageBreakBefore w:val="0"/>
              <w:widowControl/>
              <w:kinsoku/>
              <w:wordWrap/>
              <w:overflowPunct/>
              <w:topLinePunct w:val="0"/>
              <w:bidi w:val="0"/>
              <w:spacing w:line="600" w:lineRule="exact"/>
              <w:jc w:val="center"/>
              <w:rPr>
                <w:rFonts w:ascii="仿宋" w:hAnsi="仿宋" w:eastAsia="仿宋" w:cs="仿宋"/>
                <w:kern w:val="0"/>
                <w:sz w:val="30"/>
                <w:szCs w:val="30"/>
                <w:u w:val="none"/>
              </w:rPr>
            </w:pPr>
            <w:r>
              <w:rPr>
                <w:rFonts w:hint="eastAsia" w:ascii="仿宋" w:hAnsi="仿宋" w:eastAsia="仿宋" w:cs="仿宋"/>
                <w:kern w:val="0"/>
                <w:sz w:val="30"/>
                <w:szCs w:val="30"/>
                <w:u w:val="none"/>
              </w:rPr>
              <w:t>1</w:t>
            </w:r>
          </w:p>
        </w:tc>
        <w:tc>
          <w:tcPr>
            <w:tcW w:w="4221" w:type="dxa"/>
            <w:tcBorders>
              <w:top w:val="nil"/>
              <w:left w:val="nil"/>
              <w:bottom w:val="single" w:color="auto" w:sz="4" w:space="0"/>
              <w:right w:val="single" w:color="auto" w:sz="4" w:space="0"/>
            </w:tcBorders>
            <w:vAlign w:val="center"/>
          </w:tcPr>
          <w:p w14:paraId="19FB445F">
            <w:pPr>
              <w:pageBreakBefore w:val="0"/>
              <w:widowControl/>
              <w:kinsoku/>
              <w:wordWrap/>
              <w:overflowPunct/>
              <w:topLinePunct w:val="0"/>
              <w:bidi w:val="0"/>
              <w:spacing w:line="600" w:lineRule="exact"/>
              <w:rPr>
                <w:rFonts w:hint="default" w:ascii="仿宋" w:hAnsi="仿宋" w:eastAsia="仿宋" w:cs="仿宋"/>
                <w:kern w:val="0"/>
                <w:sz w:val="30"/>
                <w:szCs w:val="30"/>
                <w:u w:val="none"/>
                <w:lang w:val="en-US" w:eastAsia="zh-CN"/>
              </w:rPr>
            </w:pPr>
            <w:r>
              <w:rPr>
                <w:rFonts w:hint="eastAsia" w:ascii="仿宋" w:hAnsi="仿宋" w:eastAsia="仿宋" w:cs="仿宋"/>
                <w:kern w:val="0"/>
                <w:sz w:val="30"/>
                <w:szCs w:val="30"/>
                <w:u w:val="none"/>
                <w:lang w:val="en-US" w:eastAsia="zh-CN"/>
              </w:rPr>
              <w:t>包头市第八医院</w:t>
            </w:r>
          </w:p>
        </w:tc>
        <w:tc>
          <w:tcPr>
            <w:tcW w:w="4623" w:type="dxa"/>
            <w:tcBorders>
              <w:top w:val="nil"/>
              <w:left w:val="nil"/>
              <w:bottom w:val="single" w:color="auto" w:sz="4" w:space="0"/>
              <w:right w:val="single" w:color="auto" w:sz="4" w:space="0"/>
            </w:tcBorders>
            <w:vAlign w:val="center"/>
          </w:tcPr>
          <w:p w14:paraId="5BC9D51A">
            <w:pPr>
              <w:pageBreakBefore w:val="0"/>
              <w:widowControl/>
              <w:kinsoku/>
              <w:wordWrap/>
              <w:overflowPunct/>
              <w:topLinePunct w:val="0"/>
              <w:bidi w:val="0"/>
              <w:spacing w:line="600" w:lineRule="exact"/>
              <w:rPr>
                <w:rFonts w:ascii="仿宋" w:hAnsi="仿宋" w:eastAsia="仿宋" w:cs="仿宋"/>
                <w:kern w:val="0"/>
                <w:sz w:val="30"/>
                <w:szCs w:val="30"/>
                <w:u w:val="none"/>
              </w:rPr>
            </w:pPr>
            <w:r>
              <w:rPr>
                <w:rFonts w:hint="eastAsia" w:ascii="仿宋" w:hAnsi="仿宋" w:eastAsia="仿宋" w:cs="仿宋"/>
                <w:kern w:val="0"/>
                <w:sz w:val="30"/>
                <w:szCs w:val="30"/>
                <w:u w:val="none"/>
              </w:rPr>
              <w:t>财政拨款的</w:t>
            </w:r>
            <w:r>
              <w:rPr>
                <w:rFonts w:hint="eastAsia" w:ascii="仿宋" w:hAnsi="仿宋" w:eastAsia="仿宋" w:cs="仿宋"/>
                <w:kern w:val="0"/>
                <w:sz w:val="30"/>
                <w:szCs w:val="30"/>
                <w:u w:val="none"/>
                <w:lang w:eastAsia="zh-CN"/>
              </w:rPr>
              <w:t>差额事业</w:t>
            </w:r>
            <w:r>
              <w:rPr>
                <w:rFonts w:hint="eastAsia" w:ascii="仿宋" w:hAnsi="仿宋" w:eastAsia="仿宋" w:cs="仿宋"/>
                <w:kern w:val="0"/>
                <w:sz w:val="30"/>
                <w:szCs w:val="30"/>
                <w:u w:val="none"/>
              </w:rPr>
              <w:t>单位</w:t>
            </w:r>
          </w:p>
        </w:tc>
      </w:tr>
    </w:tbl>
    <w:p w14:paraId="6E834450">
      <w:pPr>
        <w:pageBreakBefore w:val="0"/>
        <w:kinsoku/>
        <w:wordWrap/>
        <w:overflowPunct/>
        <w:topLinePunct w:val="0"/>
        <w:bidi w:val="0"/>
        <w:spacing w:line="600" w:lineRule="exact"/>
        <w:ind w:firstLine="640" w:firstLineChars="200"/>
        <w:rPr>
          <w:rFonts w:hint="eastAsia" w:ascii="仿宋" w:hAnsi="仿宋" w:eastAsia="仿宋" w:cs="仿宋"/>
          <w:lang w:val="en-US" w:eastAsia="zh-CN"/>
        </w:rPr>
      </w:pPr>
      <w:r>
        <w:rPr>
          <w:rFonts w:hint="eastAsia" w:eastAsia="黑体" w:cs="黑体"/>
          <w:b w:val="0"/>
          <w:bCs w:val="0"/>
          <w:sz w:val="32"/>
          <w:szCs w:val="36"/>
          <w:u w:val="none"/>
          <w:lang w:val="en-US" w:eastAsia="zh-CN"/>
        </w:rPr>
        <w:t>2025</w:t>
      </w:r>
      <w:r>
        <w:rPr>
          <w:rFonts w:hint="eastAsia" w:eastAsia="黑体" w:cs="黑体"/>
          <w:b w:val="0"/>
          <w:bCs w:val="0"/>
          <w:sz w:val="32"/>
          <w:szCs w:val="36"/>
          <w:u w:val="none"/>
        </w:rPr>
        <w:t>年</w:t>
      </w:r>
      <w:r>
        <w:rPr>
          <w:rFonts w:hint="eastAsia" w:eastAsia="黑体" w:cs="黑体"/>
          <w:b w:val="0"/>
          <w:bCs w:val="0"/>
          <w:sz w:val="32"/>
          <w:szCs w:val="36"/>
          <w:u w:val="none"/>
          <w:lang w:eastAsia="zh-CN"/>
        </w:rPr>
        <w:t>单位</w:t>
      </w:r>
      <w:r>
        <w:rPr>
          <w:rFonts w:hint="eastAsia" w:eastAsia="黑体" w:cs="黑体"/>
          <w:b w:val="0"/>
          <w:bCs w:val="0"/>
          <w:sz w:val="32"/>
          <w:szCs w:val="36"/>
          <w:u w:val="none"/>
        </w:rPr>
        <w:t>主要工作任务及目标</w:t>
      </w:r>
    </w:p>
    <w:p w14:paraId="3D80F0FD">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1.医院转型定位</w:t>
      </w:r>
    </w:p>
    <w:p w14:paraId="1FDD95F7">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根据包头市大而全的综合医院较多，细而精的专科医院数量不足的实际情况，在全市医院的梯队中找准定位、排名，分析自身优势和不足，结合实际制定切实可行的工作措施，按照创建康复专科医院的规划，全力推动转型发展，坚持一张蓝图绘到底，努力发挥全市三级公立医院“以强补弱”的医疗拼图作用。</w:t>
      </w:r>
    </w:p>
    <w:p w14:paraId="5EC6AB19">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2.提高医疗服务质量及医疗安全</w:t>
      </w:r>
    </w:p>
    <w:p w14:paraId="5194D85D">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坚持</w:t>
      </w:r>
      <w:r>
        <w:rPr>
          <w:rFonts w:hint="eastAsia" w:ascii="仿宋" w:hAnsi="仿宋" w:eastAsia="仿宋" w:cs="仿宋"/>
          <w:sz w:val="32"/>
          <w:szCs w:val="32"/>
          <w:u w:val="none"/>
          <w:lang w:eastAsia="zh-CN"/>
        </w:rPr>
        <w:t>“</w:t>
      </w:r>
      <w:r>
        <w:rPr>
          <w:rFonts w:hint="eastAsia" w:ascii="仿宋" w:hAnsi="仿宋" w:eastAsia="仿宋" w:cs="仿宋"/>
          <w:sz w:val="32"/>
          <w:szCs w:val="32"/>
          <w:u w:val="none"/>
          <w:lang w:val="en-US" w:eastAsia="zh-CN"/>
        </w:rPr>
        <w:t>以患者为中心、</w:t>
      </w:r>
      <w:r>
        <w:rPr>
          <w:rFonts w:hint="eastAsia" w:ascii="仿宋" w:hAnsi="仿宋" w:eastAsia="仿宋" w:cs="仿宋"/>
          <w:sz w:val="32"/>
          <w:szCs w:val="32"/>
          <w:u w:val="none"/>
          <w:lang w:eastAsia="zh-CN"/>
        </w:rPr>
        <w:t>以质量为核心”的服务理念，不断提升医疗服务质量。持续把改进医疗质量和保障医疗安全作为医院管理的核心内容，满足</w:t>
      </w:r>
      <w:r>
        <w:rPr>
          <w:rFonts w:hint="eastAsia" w:ascii="仿宋" w:hAnsi="仿宋" w:eastAsia="仿宋" w:cs="仿宋"/>
          <w:sz w:val="32"/>
          <w:szCs w:val="32"/>
          <w:u w:val="none"/>
          <w:lang w:val="en-US" w:eastAsia="zh-CN"/>
        </w:rPr>
        <w:t>患者</w:t>
      </w:r>
      <w:r>
        <w:rPr>
          <w:rFonts w:hint="eastAsia" w:ascii="仿宋" w:hAnsi="仿宋" w:eastAsia="仿宋" w:cs="仿宋"/>
          <w:sz w:val="32"/>
          <w:szCs w:val="32"/>
          <w:u w:val="none"/>
          <w:lang w:eastAsia="zh-CN"/>
        </w:rPr>
        <w:t>群众多层次、多样化医疗需求，</w:t>
      </w:r>
      <w:r>
        <w:rPr>
          <w:rFonts w:hint="eastAsia" w:ascii="仿宋" w:hAnsi="仿宋" w:eastAsia="仿宋" w:cs="仿宋"/>
          <w:sz w:val="32"/>
          <w:szCs w:val="32"/>
          <w:u w:val="none"/>
          <w:lang w:val="en-US" w:eastAsia="zh-CN"/>
        </w:rPr>
        <w:t>在保证医疗安全的前提下，做好医疗救治工作，不断提高医疗</w:t>
      </w:r>
      <w:r>
        <w:rPr>
          <w:rFonts w:hint="eastAsia" w:ascii="仿宋" w:hAnsi="仿宋" w:eastAsia="仿宋" w:cs="仿宋"/>
          <w:sz w:val="32"/>
          <w:szCs w:val="32"/>
          <w:u w:val="none"/>
          <w:lang w:eastAsia="zh-CN"/>
        </w:rPr>
        <w:t>服务水平。</w:t>
      </w:r>
    </w:p>
    <w:p w14:paraId="0E096D02">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3.持续深化公立医院改革</w:t>
      </w:r>
    </w:p>
    <w:p w14:paraId="166A3F3E">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eastAsia="zh-CN"/>
        </w:rPr>
      </w:pPr>
      <w:r>
        <w:rPr>
          <w:rFonts w:hint="eastAsia" w:ascii="仿宋" w:hAnsi="仿宋" w:eastAsia="仿宋" w:cs="仿宋"/>
          <w:sz w:val="32"/>
          <w:szCs w:val="32"/>
          <w:u w:val="none"/>
          <w:lang w:eastAsia="zh-CN"/>
        </w:rPr>
        <w:t>绩效考核</w:t>
      </w:r>
      <w:r>
        <w:rPr>
          <w:rFonts w:hint="eastAsia" w:ascii="仿宋" w:hAnsi="仿宋" w:eastAsia="仿宋" w:cs="仿宋"/>
          <w:sz w:val="32"/>
          <w:szCs w:val="32"/>
          <w:u w:val="none"/>
          <w:lang w:val="en-US" w:eastAsia="zh-CN"/>
        </w:rPr>
        <w:t>工作</w:t>
      </w:r>
      <w:r>
        <w:rPr>
          <w:rFonts w:hint="eastAsia" w:ascii="仿宋" w:hAnsi="仿宋" w:eastAsia="仿宋" w:cs="仿宋"/>
          <w:sz w:val="32"/>
          <w:szCs w:val="32"/>
          <w:u w:val="none"/>
          <w:lang w:eastAsia="zh-CN"/>
        </w:rPr>
        <w:t>作为公立医院管理工作的“指挥棒”，</w:t>
      </w:r>
      <w:r>
        <w:rPr>
          <w:rFonts w:hint="eastAsia" w:ascii="仿宋" w:hAnsi="仿宋" w:eastAsia="仿宋" w:cs="仿宋"/>
          <w:sz w:val="32"/>
          <w:szCs w:val="32"/>
          <w:u w:val="none"/>
          <w:lang w:val="en-US" w:eastAsia="zh-CN"/>
        </w:rPr>
        <w:t>学会</w:t>
      </w:r>
      <w:r>
        <w:rPr>
          <w:rFonts w:hint="eastAsia" w:ascii="仿宋" w:hAnsi="仿宋" w:eastAsia="仿宋" w:cs="仿宋"/>
          <w:sz w:val="32"/>
          <w:szCs w:val="32"/>
          <w:u w:val="none"/>
          <w:lang w:eastAsia="zh-CN"/>
        </w:rPr>
        <w:t>善用“指挥棒”。将提升国考数据处理能力与精细化管理水平，确保数据的准确性、完整性。在日常管理中，通过指标数据的可视化，及时纠正问题，加强薄弱环节管理，从而整体提升考核指标管理能力。</w:t>
      </w:r>
    </w:p>
    <w:p w14:paraId="48A6E017">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eastAsia="zh-CN"/>
        </w:rPr>
      </w:pPr>
      <w:r>
        <w:rPr>
          <w:rFonts w:hint="eastAsia" w:ascii="仿宋" w:hAnsi="仿宋" w:eastAsia="仿宋" w:cs="仿宋"/>
          <w:sz w:val="32"/>
          <w:szCs w:val="32"/>
          <w:u w:val="none"/>
          <w:lang w:val="en-US" w:eastAsia="zh-CN"/>
        </w:rPr>
        <w:t>医院将以科学的绩效方法为导向，坚持公开、公平、公正的原则，按照科室及职工的工作量、工作强度、技术含量、风险程度、工作质量等指标，细化绩效考核管理细则，充分调动工作积极性，提升医院绩效管理水平，持续提高医院运营效率。</w:t>
      </w:r>
    </w:p>
    <w:p w14:paraId="16DE7AFC">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4.推进学科建设</w:t>
      </w:r>
    </w:p>
    <w:p w14:paraId="3B6FB4C3">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医院以建设成为高水平三级康复专科医院为目标，以康复医学科</w:t>
      </w:r>
      <w:r>
        <w:rPr>
          <w:rFonts w:hint="eastAsia" w:ascii="仿宋" w:hAnsi="仿宋" w:eastAsia="仿宋" w:cs="仿宋"/>
          <w:sz w:val="32"/>
          <w:szCs w:val="32"/>
          <w:u w:val="none"/>
          <w:lang w:eastAsia="zh-CN"/>
        </w:rPr>
        <w:t>及周围学科的医疗业务为中心，</w:t>
      </w:r>
      <w:r>
        <w:rPr>
          <w:rFonts w:hint="eastAsia" w:ascii="仿宋" w:hAnsi="仿宋" w:eastAsia="仿宋" w:cs="仿宋"/>
          <w:sz w:val="32"/>
          <w:szCs w:val="32"/>
          <w:u w:val="none"/>
          <w:lang w:val="en-US" w:eastAsia="zh-CN"/>
        </w:rPr>
        <w:t>将康复医学科、老年病科、心血管内科、神经内科、消化内科、内分泌科、肾病学科、中医科、医学影像科确定为重点科室，在人员、资金、政策等方面给予一定倾斜，提升科室诊疗水平和服务能力。针对医院其他临床医技科室,结合群众需求，打造一批“小而精”科室。</w:t>
      </w:r>
    </w:p>
    <w:p w14:paraId="34A03C10">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5.优化人员配置</w:t>
      </w:r>
    </w:p>
    <w:p w14:paraId="1114012F">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围绕医院中心工作和重点任务加强人才队伍建设，做到以人才强学科、以学科铸文化、以文化留人才。强化院内业务培训和以老带新，增强医疗服务内涵，提高业务技术水平，培养年轻力量。弥补医院高层次专业技术人才流失严重，人才梯队断档的现实情况。大力引进高层次和紧缺急需专业技术人才。充分发挥作为包头医学院第四临床医学院的优势，与包头医学院开展深度合作，为医院输送人才。</w:t>
      </w:r>
    </w:p>
    <w:p w14:paraId="29E6EB84">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6.重视科研教学</w:t>
      </w:r>
    </w:p>
    <w:p w14:paraId="6FF85887">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医院将大力支持卫技人员、重点是临床医师的科研工作，依托包头市整形外科研究所，加强整形外科、神经外科、消化内科等学科的科研力度，并鼓励科研成果进行科学转化投产，提升包头市乃至自治区范围的学科知名度和影响力。</w:t>
      </w:r>
    </w:p>
    <w:p w14:paraId="67157330">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医院在新项目建成基础上，计划完成临床技能中心和教室的装修和搬迁，为“全程式”教学提供优质的基础配套设施；</w:t>
      </w:r>
      <w:r>
        <w:rPr>
          <w:rFonts w:hint="eastAsia" w:ascii="仿宋" w:hAnsi="仿宋" w:eastAsia="仿宋" w:cs="仿宋"/>
          <w:sz w:val="32"/>
          <w:szCs w:val="32"/>
          <w:u w:val="none"/>
          <w:lang w:eastAsia="zh-CN"/>
        </w:rPr>
        <w:t>做好青年骨干教师的培养工作。</w:t>
      </w:r>
    </w:p>
    <w:p w14:paraId="1AE31A72">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7.推进信息化建设</w:t>
      </w:r>
    </w:p>
    <w:p w14:paraId="484B284F">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医院以新项目即将落成使用为契机，建立一体化医院信息系统。一体化医院信息系统的建设核心是建立病人和临床为中心的数字化医院，实现病人信息的共享。推进一体化医院信息系统落地，逐步完善智慧医院建设。</w:t>
      </w:r>
    </w:p>
    <w:p w14:paraId="297F99B3">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8.加强文化建设</w:t>
      </w:r>
    </w:p>
    <w:p w14:paraId="5B1DDB0C">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医院在新大楼顺利搬迁后，经院区整体规划，建设职工活动中心。以“铁医精神”文化品牌建设为依托，注重职工人文关怀，组织丰富多样的职工文体活动。将持续推进“职工之家”建设工作，落实职工健康体检、离退休职工慰问和困难职工帮扶工作。让职工对医院有归属感和荣誉感，增强职工的凝聚力和向心力，促进职工的积极性、主动性和创造性。</w:t>
      </w:r>
    </w:p>
    <w:p w14:paraId="3182DFE1">
      <w:pPr>
        <w:pStyle w:val="7"/>
        <w:pageBreakBefore w:val="0"/>
        <w:tabs>
          <w:tab w:val="left" w:pos="4392"/>
        </w:tabs>
        <w:kinsoku/>
        <w:wordWrap/>
        <w:overflowPunct/>
        <w:topLinePunct w:val="0"/>
        <w:bidi w:val="0"/>
        <w:spacing w:before="0" w:after="0" w:line="600" w:lineRule="exact"/>
        <w:jc w:val="center"/>
        <w:rPr>
          <w:rFonts w:hint="eastAsia" w:ascii="方正小标宋简体" w:hAnsi="方正小标宋简体" w:eastAsia="方正小标宋简体" w:cs="方正小标宋简体"/>
          <w:b w:val="0"/>
          <w:bCs w:val="0"/>
          <w:sz w:val="36"/>
          <w:szCs w:val="36"/>
          <w:u w:val="none"/>
        </w:rPr>
      </w:pPr>
      <w:r>
        <w:rPr>
          <w:rFonts w:hint="eastAsia" w:ascii="方正小标宋简体" w:hAnsi="方正小标宋简体" w:eastAsia="方正小标宋简体" w:cs="方正小标宋简体"/>
          <w:b w:val="0"/>
          <w:bCs w:val="0"/>
          <w:sz w:val="36"/>
          <w:szCs w:val="36"/>
          <w:u w:val="none"/>
        </w:rPr>
        <w:t>第二部分</w:t>
      </w:r>
      <w:r>
        <w:rPr>
          <w:rFonts w:hint="eastAsia" w:ascii="方正小标宋简体" w:hAnsi="方正小标宋简体" w:eastAsia="方正小标宋简体" w:cs="方正小标宋简体"/>
          <w:b w:val="0"/>
          <w:bCs w:val="0"/>
          <w:sz w:val="36"/>
          <w:szCs w:val="36"/>
          <w:u w:val="none"/>
          <w:lang w:val="en-US" w:eastAsia="zh-CN"/>
        </w:rPr>
        <w:t>2025</w:t>
      </w:r>
      <w:r>
        <w:rPr>
          <w:rFonts w:hint="eastAsia" w:ascii="方正小标宋简体" w:hAnsi="方正小标宋简体" w:eastAsia="方正小标宋简体" w:cs="方正小标宋简体"/>
          <w:b w:val="0"/>
          <w:bCs w:val="0"/>
          <w:sz w:val="36"/>
          <w:szCs w:val="36"/>
          <w:u w:val="none"/>
        </w:rPr>
        <w:t>年度</w:t>
      </w:r>
      <w:r>
        <w:rPr>
          <w:rFonts w:hint="eastAsia" w:ascii="方正小标宋简体" w:hAnsi="方正小标宋简体" w:eastAsia="方正小标宋简体" w:cs="方正小标宋简体"/>
          <w:b w:val="0"/>
          <w:bCs w:val="0"/>
          <w:sz w:val="36"/>
          <w:szCs w:val="36"/>
          <w:u w:val="none"/>
          <w:lang w:eastAsia="zh-CN"/>
        </w:rPr>
        <w:t>单位</w:t>
      </w:r>
      <w:r>
        <w:rPr>
          <w:rFonts w:hint="eastAsia" w:ascii="方正小标宋简体" w:hAnsi="方正小标宋简体" w:eastAsia="方正小标宋简体" w:cs="方正小标宋简体"/>
          <w:b w:val="0"/>
          <w:bCs w:val="0"/>
          <w:sz w:val="36"/>
          <w:szCs w:val="36"/>
          <w:u w:val="none"/>
        </w:rPr>
        <w:t>预算情况说明</w:t>
      </w:r>
    </w:p>
    <w:p w14:paraId="5F3B9134">
      <w:pPr>
        <w:pageBreakBefore w:val="0"/>
        <w:kinsoku/>
        <w:wordWrap/>
        <w:overflowPunct/>
        <w:topLinePunct w:val="0"/>
        <w:bidi w:val="0"/>
        <w:spacing w:line="600" w:lineRule="exact"/>
        <w:rPr>
          <w:rFonts w:hint="eastAsia" w:ascii="方正小标宋简体" w:hAnsi="方正小标宋简体" w:eastAsia="方正小标宋简体" w:cs="方正小标宋简体"/>
          <w:sz w:val="36"/>
          <w:szCs w:val="36"/>
          <w:u w:val="none"/>
        </w:rPr>
      </w:pPr>
    </w:p>
    <w:p w14:paraId="197D6CCC">
      <w:pPr>
        <w:pageBreakBefore w:val="0"/>
        <w:kinsoku/>
        <w:wordWrap/>
        <w:overflowPunct/>
        <w:topLinePunct w:val="0"/>
        <w:bidi w:val="0"/>
        <w:spacing w:line="600" w:lineRule="exact"/>
        <w:ind w:firstLine="640" w:firstLineChars="200"/>
        <w:outlineLvl w:val="0"/>
        <w:rPr>
          <w:rFonts w:eastAsia="黑体" w:cs="黑体"/>
          <w:b w:val="0"/>
          <w:bCs w:val="0"/>
          <w:sz w:val="32"/>
          <w:szCs w:val="36"/>
          <w:u w:val="none"/>
        </w:rPr>
      </w:pPr>
      <w:r>
        <w:rPr>
          <w:rFonts w:hint="eastAsia" w:eastAsia="黑体" w:cs="黑体"/>
          <w:b w:val="0"/>
          <w:bCs w:val="0"/>
          <w:sz w:val="32"/>
          <w:szCs w:val="36"/>
          <w:u w:val="none"/>
        </w:rPr>
        <w:t>一、收支预算总体情况说明</w:t>
      </w:r>
    </w:p>
    <w:p w14:paraId="217D2D4C">
      <w:pPr>
        <w:pageBreakBefore w:val="0"/>
        <w:numPr>
          <w:ilvl w:val="0"/>
          <w:numId w:val="0"/>
        </w:numPr>
        <w:kinsoku/>
        <w:wordWrap/>
        <w:overflowPunct/>
        <w:topLinePunct w:val="0"/>
        <w:bidi w:val="0"/>
        <w:spacing w:line="600" w:lineRule="exact"/>
        <w:ind w:firstLine="640" w:firstLineChars="200"/>
        <w:rPr>
          <w:rFonts w:hint="eastAsia" w:ascii="仿宋" w:hAnsi="仿宋" w:eastAsia="仿宋" w:cs="仿宋"/>
          <w:kern w:val="2"/>
          <w:sz w:val="32"/>
          <w:szCs w:val="32"/>
          <w:u w:val="none"/>
          <w:lang w:val="en-US" w:eastAsia="zh-CN" w:bidi="ar-SA"/>
        </w:rPr>
      </w:pPr>
      <w:r>
        <w:rPr>
          <w:rFonts w:hint="eastAsia" w:ascii="仿宋" w:hAnsi="仿宋" w:eastAsia="仿宋" w:cs="仿宋"/>
          <w:kern w:val="2"/>
          <w:sz w:val="32"/>
          <w:szCs w:val="32"/>
          <w:u w:val="none"/>
          <w:lang w:val="en-US" w:eastAsia="zh-CN" w:bidi="ar-SA"/>
        </w:rPr>
        <w:t>包头市第八医院2025年度收入、支出预算总计23,412.88万元，与上年相比收、支预算总计各减少9,382.03万元，减少28.61%。其中：</w:t>
      </w:r>
    </w:p>
    <w:p w14:paraId="22AFC994">
      <w:pPr>
        <w:pStyle w:val="10"/>
        <w:pageBreakBefore w:val="0"/>
        <w:tabs>
          <w:tab w:val="left" w:pos="4275"/>
        </w:tabs>
        <w:kinsoku/>
        <w:wordWrap/>
        <w:overflowPunct/>
        <w:topLinePunct w:val="0"/>
        <w:bidi w:val="0"/>
        <w:spacing w:after="0" w:line="600" w:lineRule="exact"/>
        <w:ind w:firstLine="643" w:firstLineChars="200"/>
        <w:rPr>
          <w:rFonts w:ascii="楷体" w:hAnsi="楷体" w:eastAsia="楷体" w:cs="楷体"/>
          <w:b/>
          <w:bCs/>
          <w:sz w:val="32"/>
          <w:szCs w:val="32"/>
          <w:u w:val="none"/>
        </w:rPr>
      </w:pPr>
      <w:r>
        <w:rPr>
          <w:rFonts w:hint="eastAsia" w:ascii="楷体" w:hAnsi="楷体" w:eastAsia="楷体" w:cs="楷体"/>
          <w:b/>
          <w:bCs/>
          <w:sz w:val="32"/>
          <w:szCs w:val="32"/>
          <w:u w:val="none"/>
        </w:rPr>
        <w:t>（一）收入预算总计</w:t>
      </w:r>
      <w:r>
        <w:rPr>
          <w:rFonts w:hint="eastAsia" w:ascii="仿宋" w:hAnsi="仿宋" w:eastAsia="仿宋" w:cs="仿宋"/>
          <w:sz w:val="32"/>
          <w:szCs w:val="32"/>
          <w:u w:val="none"/>
        </w:rPr>
        <w:t>23</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412.88</w:t>
      </w:r>
      <w:r>
        <w:rPr>
          <w:rFonts w:hint="eastAsia" w:ascii="楷体" w:hAnsi="楷体" w:eastAsia="楷体" w:cs="楷体"/>
          <w:b/>
          <w:bCs/>
          <w:sz w:val="32"/>
          <w:szCs w:val="32"/>
          <w:u w:val="none"/>
        </w:rPr>
        <w:t>万元。包括：</w:t>
      </w:r>
    </w:p>
    <w:p w14:paraId="01271973">
      <w:pPr>
        <w:pStyle w:val="10"/>
        <w:pageBreakBefore w:val="0"/>
        <w:tabs>
          <w:tab w:val="left" w:pos="3792"/>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1．本年收入合计23</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412.88万元。</w:t>
      </w:r>
    </w:p>
    <w:p w14:paraId="02114734">
      <w:pPr>
        <w:pStyle w:val="10"/>
        <w:pageBreakBefore w:val="0"/>
        <w:widowControl w:val="0"/>
        <w:tabs>
          <w:tab w:val="left" w:pos="3792"/>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（1）一般公共预算拨款收入6</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258</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w:t>
      </w:r>
      <w:r>
        <w:rPr>
          <w:rFonts w:hint="eastAsia" w:ascii="仿宋" w:hAnsi="仿宋" w:eastAsia="仿宋" w:cs="仿宋"/>
          <w:sz w:val="32"/>
          <w:szCs w:val="32"/>
          <w:u w:val="none"/>
          <w:lang w:val="en-US" w:eastAsia="zh-CN"/>
        </w:rPr>
        <w:t>6</w:t>
      </w:r>
      <w:r>
        <w:rPr>
          <w:rFonts w:hint="eastAsia" w:ascii="仿宋" w:hAnsi="仿宋" w:eastAsia="仿宋" w:cs="仿宋"/>
          <w:sz w:val="32"/>
          <w:szCs w:val="32"/>
          <w:u w:val="none"/>
        </w:rPr>
        <w:t>万元，与上年相比减少205.82万元，减少</w:t>
      </w:r>
      <w:r>
        <w:rPr>
          <w:rFonts w:hint="eastAsia" w:ascii="仿宋" w:hAnsi="仿宋" w:eastAsia="仿宋" w:cs="仿宋"/>
          <w:sz w:val="32"/>
          <w:szCs w:val="32"/>
          <w:u w:val="none"/>
          <w:lang w:val="en-US" w:eastAsia="zh-CN"/>
        </w:rPr>
        <w:t>3.18</w:t>
      </w:r>
      <w:r>
        <w:rPr>
          <w:rFonts w:hint="eastAsia" w:ascii="仿宋" w:hAnsi="仿宋" w:eastAsia="仿宋" w:cs="仿宋"/>
          <w:sz w:val="32"/>
          <w:szCs w:val="32"/>
          <w:u w:val="none"/>
        </w:rPr>
        <w:t>%。</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lang w:val="en-US" w:eastAsia="zh-CN"/>
        </w:rPr>
        <w:t>取消</w:t>
      </w:r>
      <w:r>
        <w:rPr>
          <w:rFonts w:hint="eastAsia" w:ascii="仿宋" w:hAnsi="仿宋" w:eastAsia="仿宋" w:cs="仿宋"/>
          <w:sz w:val="32"/>
          <w:szCs w:val="32"/>
          <w:u w:val="none"/>
          <w:lang w:eastAsia="zh-CN"/>
        </w:rPr>
        <w:t>在职人员、离退休人员艰苦边远地区补贴预算</w:t>
      </w:r>
      <w:r>
        <w:rPr>
          <w:rFonts w:hint="eastAsia" w:ascii="仿宋" w:hAnsi="仿宋" w:eastAsia="仿宋" w:cs="仿宋"/>
          <w:sz w:val="32"/>
          <w:szCs w:val="32"/>
          <w:u w:val="none"/>
        </w:rPr>
        <w:t>。</w:t>
      </w:r>
    </w:p>
    <w:p w14:paraId="3DE125E4">
      <w:pPr>
        <w:pStyle w:val="10"/>
        <w:pageBreakBefore w:val="0"/>
        <w:tabs>
          <w:tab w:val="left" w:pos="1389"/>
          <w:tab w:val="left" w:pos="4911"/>
          <w:tab w:val="left" w:pos="5991"/>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（2）政府性基金预算拨款收入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万元，与上年相比增加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万元，增长</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rPr>
        <w:t>不存在此项内容。</w:t>
      </w:r>
    </w:p>
    <w:p w14:paraId="0E1FB9BC">
      <w:pPr>
        <w:pStyle w:val="10"/>
        <w:pageBreakBefore w:val="0"/>
        <w:tabs>
          <w:tab w:val="left" w:pos="1389"/>
          <w:tab w:val="left" w:pos="4911"/>
          <w:tab w:val="left" w:pos="6205"/>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（3）国有资本经营预算拨款收入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万元，与上年相比增加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万元，增长</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rPr>
        <w:t>不存在此项内容。</w:t>
      </w:r>
    </w:p>
    <w:p w14:paraId="4EA3D6B1">
      <w:pPr>
        <w:pStyle w:val="10"/>
        <w:pageBreakBefore w:val="0"/>
        <w:tabs>
          <w:tab w:val="left" w:pos="1389"/>
          <w:tab w:val="left" w:pos="4911"/>
          <w:tab w:val="left" w:pos="5898"/>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（4）财政专户管理资金收入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万元，与上年相比增加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万元，增长</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rPr>
        <w:t>不存在此项内容。</w:t>
      </w:r>
    </w:p>
    <w:p w14:paraId="65B95286">
      <w:pPr>
        <w:pStyle w:val="10"/>
        <w:pageBreakBefore w:val="0"/>
        <w:tabs>
          <w:tab w:val="left" w:pos="3310"/>
          <w:tab w:val="left" w:pos="3807"/>
          <w:tab w:val="left" w:pos="9433"/>
        </w:tabs>
        <w:kinsoku/>
        <w:wordWrap/>
        <w:overflowPunct/>
        <w:topLinePunct w:val="0"/>
        <w:bidi w:val="0"/>
        <w:spacing w:after="0" w:line="600" w:lineRule="exact"/>
        <w:ind w:firstLine="640" w:firstLineChars="200"/>
        <w:rPr>
          <w:rFonts w:hint="eastAsia" w:ascii="仿宋" w:hAnsi="仿宋" w:eastAsia="仿宋" w:cs="仿宋"/>
          <w:sz w:val="32"/>
          <w:szCs w:val="32"/>
          <w:u w:val="none"/>
          <w:lang w:val="en-US"/>
        </w:rPr>
      </w:pPr>
      <w:r>
        <w:rPr>
          <w:rFonts w:hint="eastAsia" w:ascii="仿宋" w:hAnsi="仿宋" w:eastAsia="仿宋" w:cs="仿宋"/>
          <w:sz w:val="32"/>
          <w:szCs w:val="32"/>
          <w:u w:val="none"/>
        </w:rPr>
        <w:t>（5）事业收入17</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154</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w:t>
      </w:r>
      <w:r>
        <w:rPr>
          <w:rFonts w:hint="eastAsia" w:ascii="仿宋" w:hAnsi="仿宋" w:eastAsia="仿宋" w:cs="仿宋"/>
          <w:sz w:val="32"/>
          <w:szCs w:val="32"/>
          <w:u w:val="none"/>
          <w:lang w:val="en-US" w:eastAsia="zh-CN"/>
        </w:rPr>
        <w:t>2</w:t>
      </w:r>
      <w:r>
        <w:rPr>
          <w:rFonts w:hint="eastAsia" w:ascii="仿宋" w:hAnsi="仿宋" w:eastAsia="仿宋" w:cs="仿宋"/>
          <w:sz w:val="32"/>
          <w:szCs w:val="32"/>
          <w:u w:val="none"/>
        </w:rPr>
        <w:t>万元，与上年相比减少9</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176.2万元，减少34.85%。</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lang w:val="en-US" w:eastAsia="zh-CN"/>
        </w:rPr>
        <w:t>本年取消上年未开展或者无法开展的项目38个。</w:t>
      </w:r>
    </w:p>
    <w:p w14:paraId="41C24449">
      <w:pPr>
        <w:pStyle w:val="10"/>
        <w:pageBreakBefore w:val="0"/>
        <w:tabs>
          <w:tab w:val="left" w:pos="1389"/>
          <w:tab w:val="left" w:pos="4911"/>
          <w:tab w:val="left" w:pos="590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（6）事业单位经营收入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万元，与上年相比增加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万元，增长</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rPr>
        <w:t>不存在此项内容。</w:t>
      </w:r>
    </w:p>
    <w:p w14:paraId="4409D752">
      <w:pPr>
        <w:pStyle w:val="10"/>
        <w:pageBreakBefore w:val="0"/>
        <w:tabs>
          <w:tab w:val="left" w:pos="4320"/>
          <w:tab w:val="left" w:pos="9433"/>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（7）上级补助收入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万元，与上年相比增加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万元，增长</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rPr>
        <w:t>不存在此项内容。</w:t>
      </w:r>
    </w:p>
    <w:p w14:paraId="0F363851">
      <w:pPr>
        <w:pStyle w:val="10"/>
        <w:pageBreakBefore w:val="0"/>
        <w:tabs>
          <w:tab w:val="left" w:pos="1389"/>
          <w:tab w:val="left" w:pos="4911"/>
          <w:tab w:val="left" w:pos="590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（8）附属单位上缴收入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万元，与上年相比增加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万元，增长</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rPr>
        <w:t>不存在此项内容。</w:t>
      </w:r>
    </w:p>
    <w:p w14:paraId="72C7EAF5">
      <w:pPr>
        <w:pStyle w:val="10"/>
        <w:pageBreakBefore w:val="0"/>
        <w:tabs>
          <w:tab w:val="left" w:pos="3310"/>
          <w:tab w:val="left" w:pos="4121"/>
          <w:tab w:val="left" w:pos="9431"/>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（9）其他收入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万元，与上年相比增加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万元，增长</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rPr>
        <w:t>不存在此项内容。</w:t>
      </w:r>
    </w:p>
    <w:p w14:paraId="72A172B7">
      <w:pPr>
        <w:pStyle w:val="10"/>
        <w:pageBreakBefore w:val="0"/>
        <w:tabs>
          <w:tab w:val="left" w:pos="3310"/>
          <w:tab w:val="left" w:pos="4280"/>
          <w:tab w:val="left" w:pos="9431"/>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2．上年结转结余为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万元，与上年相比</w:t>
      </w:r>
      <w:r>
        <w:rPr>
          <w:rFonts w:hint="eastAsia" w:ascii="仿宋" w:hAnsi="仿宋" w:eastAsia="仿宋" w:cs="仿宋"/>
          <w:sz w:val="32"/>
          <w:szCs w:val="32"/>
          <w:u w:val="none"/>
          <w:lang w:val="en-US" w:eastAsia="zh-CN"/>
        </w:rPr>
        <w:t>减少</w:t>
      </w:r>
      <w:r>
        <w:rPr>
          <w:rFonts w:hint="default" w:ascii="仿宋" w:hAnsi="仿宋" w:eastAsia="仿宋" w:cs="仿宋"/>
          <w:sz w:val="32"/>
          <w:szCs w:val="32"/>
          <w:u w:val="none"/>
          <w:lang w:eastAsia="zh-CN"/>
        </w:rPr>
        <w:t>55.35</w:t>
      </w:r>
      <w:r>
        <w:rPr>
          <w:rFonts w:hint="eastAsia" w:ascii="仿宋" w:hAnsi="仿宋" w:eastAsia="仿宋" w:cs="仿宋"/>
          <w:sz w:val="32"/>
          <w:szCs w:val="32"/>
          <w:u w:val="none"/>
        </w:rPr>
        <w:t>万元，减少</w:t>
      </w:r>
      <w:r>
        <w:rPr>
          <w:rFonts w:hint="eastAsia" w:ascii="仿宋" w:hAnsi="仿宋" w:eastAsia="仿宋" w:cs="仿宋"/>
          <w:sz w:val="32"/>
          <w:szCs w:val="32"/>
          <w:u w:val="none"/>
          <w:lang w:val="en-US" w:eastAsia="zh-CN"/>
        </w:rPr>
        <w:t>100</w:t>
      </w:r>
      <w:r>
        <w:rPr>
          <w:rFonts w:hint="eastAsia" w:ascii="仿宋" w:hAnsi="仿宋" w:eastAsia="仿宋" w:cs="仿宋"/>
          <w:sz w:val="32"/>
          <w:szCs w:val="32"/>
          <w:u w:val="none"/>
        </w:rPr>
        <w:t>%。</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lang w:val="en-US" w:eastAsia="zh-CN"/>
        </w:rPr>
        <w:t>本年度无上年结转结余</w:t>
      </w:r>
      <w:r>
        <w:rPr>
          <w:rFonts w:hint="eastAsia" w:ascii="仿宋" w:hAnsi="仿宋" w:eastAsia="仿宋" w:cs="仿宋"/>
          <w:sz w:val="32"/>
          <w:szCs w:val="32"/>
          <w:u w:val="none"/>
        </w:rPr>
        <w:t>。</w:t>
      </w:r>
    </w:p>
    <w:p w14:paraId="5DAC65A6">
      <w:pPr>
        <w:pStyle w:val="10"/>
        <w:pageBreakBefore w:val="0"/>
        <w:tabs>
          <w:tab w:val="left" w:pos="3310"/>
          <w:tab w:val="left" w:pos="4280"/>
          <w:tab w:val="left" w:pos="9431"/>
        </w:tabs>
        <w:kinsoku/>
        <w:wordWrap/>
        <w:overflowPunct/>
        <w:topLinePunct w:val="0"/>
        <w:bidi w:val="0"/>
        <w:spacing w:after="0" w:line="600" w:lineRule="exact"/>
        <w:ind w:firstLine="640" w:firstLineChars="200"/>
        <w:rPr>
          <w:rFonts w:hint="eastAsia" w:ascii="仿宋" w:hAnsi="仿宋" w:eastAsia="仿宋" w:cs="仿宋"/>
          <w:sz w:val="32"/>
          <w:szCs w:val="32"/>
          <w:u w:val="none"/>
        </w:rPr>
      </w:pPr>
    </w:p>
    <w:p w14:paraId="689498D7">
      <w:pPr>
        <w:pStyle w:val="10"/>
        <w:pageBreakBefore w:val="0"/>
        <w:tabs>
          <w:tab w:val="left" w:pos="3310"/>
          <w:tab w:val="left" w:pos="4280"/>
          <w:tab w:val="left" w:pos="9431"/>
        </w:tabs>
        <w:kinsoku/>
        <w:wordWrap/>
        <w:overflowPunct/>
        <w:topLinePunct w:val="0"/>
        <w:bidi w:val="0"/>
        <w:spacing w:after="0" w:line="600" w:lineRule="exact"/>
        <w:ind w:firstLine="420" w:firstLineChars="200"/>
        <w:rPr>
          <w:rFonts w:hint="eastAsia" w:ascii="仿宋" w:hAnsi="仿宋" w:eastAsia="仿宋" w:cs="仿宋"/>
          <w:sz w:val="32"/>
          <w:szCs w:val="32"/>
          <w:u w:val="none"/>
        </w:rPr>
      </w:pPr>
      <w:r>
        <w:drawing>
          <wp:anchor distT="0" distB="0" distL="114300" distR="114300" simplePos="0" relativeHeight="251660288" behindDoc="0" locked="0" layoutInCell="1" allowOverlap="1">
            <wp:simplePos x="0" y="0"/>
            <wp:positionH relativeFrom="column">
              <wp:posOffset>96520</wp:posOffset>
            </wp:positionH>
            <wp:positionV relativeFrom="paragraph">
              <wp:posOffset>86995</wp:posOffset>
            </wp:positionV>
            <wp:extent cx="6011545" cy="3093720"/>
            <wp:effectExtent l="4445" t="4445" r="22860" b="698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2CAA0985">
      <w:pPr>
        <w:pStyle w:val="10"/>
        <w:pageBreakBefore w:val="0"/>
        <w:tabs>
          <w:tab w:val="left" w:pos="4275"/>
        </w:tabs>
        <w:kinsoku/>
        <w:wordWrap/>
        <w:overflowPunct/>
        <w:topLinePunct w:val="0"/>
        <w:bidi w:val="0"/>
        <w:spacing w:after="0" w:line="600" w:lineRule="exact"/>
        <w:ind w:firstLine="643" w:firstLineChars="200"/>
        <w:rPr>
          <w:rFonts w:hint="eastAsia" w:ascii="楷体" w:hAnsi="楷体" w:eastAsia="楷体" w:cs="楷体"/>
          <w:b/>
          <w:bCs/>
          <w:sz w:val="32"/>
          <w:szCs w:val="32"/>
          <w:u w:val="none"/>
        </w:rPr>
      </w:pPr>
    </w:p>
    <w:p w14:paraId="2E7C725D">
      <w:pPr>
        <w:pStyle w:val="10"/>
        <w:pageBreakBefore w:val="0"/>
        <w:tabs>
          <w:tab w:val="left" w:pos="4275"/>
        </w:tabs>
        <w:kinsoku/>
        <w:wordWrap/>
        <w:overflowPunct/>
        <w:topLinePunct w:val="0"/>
        <w:bidi w:val="0"/>
        <w:spacing w:after="0" w:line="600" w:lineRule="exact"/>
        <w:ind w:firstLine="643" w:firstLineChars="200"/>
        <w:rPr>
          <w:rFonts w:hint="eastAsia" w:ascii="楷体" w:hAnsi="楷体" w:eastAsia="楷体" w:cs="楷体"/>
          <w:b/>
          <w:bCs/>
          <w:sz w:val="32"/>
          <w:szCs w:val="32"/>
          <w:u w:val="none"/>
        </w:rPr>
      </w:pPr>
    </w:p>
    <w:p w14:paraId="25D82455">
      <w:pPr>
        <w:pStyle w:val="10"/>
        <w:pageBreakBefore w:val="0"/>
        <w:tabs>
          <w:tab w:val="left" w:pos="4275"/>
        </w:tabs>
        <w:kinsoku/>
        <w:wordWrap/>
        <w:overflowPunct/>
        <w:topLinePunct w:val="0"/>
        <w:bidi w:val="0"/>
        <w:spacing w:after="0" w:line="600" w:lineRule="exact"/>
        <w:ind w:firstLine="643" w:firstLineChars="200"/>
        <w:rPr>
          <w:rFonts w:hint="eastAsia" w:ascii="楷体" w:hAnsi="楷体" w:eastAsia="楷体" w:cs="楷体"/>
          <w:b/>
          <w:bCs/>
          <w:sz w:val="32"/>
          <w:szCs w:val="32"/>
          <w:u w:val="none"/>
        </w:rPr>
      </w:pPr>
    </w:p>
    <w:p w14:paraId="43714448">
      <w:pPr>
        <w:pStyle w:val="10"/>
        <w:pageBreakBefore w:val="0"/>
        <w:tabs>
          <w:tab w:val="left" w:pos="4275"/>
        </w:tabs>
        <w:kinsoku/>
        <w:wordWrap/>
        <w:overflowPunct/>
        <w:topLinePunct w:val="0"/>
        <w:bidi w:val="0"/>
        <w:spacing w:after="0" w:line="600" w:lineRule="exact"/>
        <w:ind w:firstLine="643" w:firstLineChars="200"/>
        <w:rPr>
          <w:rFonts w:hint="eastAsia" w:ascii="楷体" w:hAnsi="楷体" w:eastAsia="楷体" w:cs="楷体"/>
          <w:b/>
          <w:bCs/>
          <w:sz w:val="32"/>
          <w:szCs w:val="32"/>
          <w:u w:val="none"/>
        </w:rPr>
      </w:pPr>
    </w:p>
    <w:p w14:paraId="600DAF3F">
      <w:pPr>
        <w:pStyle w:val="10"/>
        <w:pageBreakBefore w:val="0"/>
        <w:tabs>
          <w:tab w:val="left" w:pos="4275"/>
        </w:tabs>
        <w:kinsoku/>
        <w:wordWrap/>
        <w:overflowPunct/>
        <w:topLinePunct w:val="0"/>
        <w:bidi w:val="0"/>
        <w:spacing w:after="0" w:line="600" w:lineRule="exact"/>
        <w:ind w:firstLine="643" w:firstLineChars="200"/>
        <w:rPr>
          <w:rFonts w:hint="eastAsia" w:ascii="楷体" w:hAnsi="楷体" w:eastAsia="楷体" w:cs="楷体"/>
          <w:b/>
          <w:bCs/>
          <w:sz w:val="32"/>
          <w:szCs w:val="32"/>
          <w:u w:val="none"/>
        </w:rPr>
      </w:pPr>
    </w:p>
    <w:p w14:paraId="67840EBB">
      <w:pPr>
        <w:pStyle w:val="10"/>
        <w:pageBreakBefore w:val="0"/>
        <w:tabs>
          <w:tab w:val="left" w:pos="4275"/>
        </w:tabs>
        <w:kinsoku/>
        <w:wordWrap/>
        <w:overflowPunct/>
        <w:topLinePunct w:val="0"/>
        <w:bidi w:val="0"/>
        <w:spacing w:after="0" w:line="600" w:lineRule="exact"/>
        <w:ind w:firstLine="643" w:firstLineChars="200"/>
        <w:rPr>
          <w:rFonts w:hint="eastAsia" w:ascii="楷体" w:hAnsi="楷体" w:eastAsia="楷体" w:cs="楷体"/>
          <w:b/>
          <w:bCs/>
          <w:sz w:val="32"/>
          <w:szCs w:val="32"/>
          <w:u w:val="none"/>
        </w:rPr>
      </w:pPr>
    </w:p>
    <w:p w14:paraId="35974004">
      <w:pPr>
        <w:pStyle w:val="10"/>
        <w:pageBreakBefore w:val="0"/>
        <w:tabs>
          <w:tab w:val="left" w:pos="4275"/>
        </w:tabs>
        <w:kinsoku/>
        <w:wordWrap/>
        <w:overflowPunct/>
        <w:topLinePunct w:val="0"/>
        <w:bidi w:val="0"/>
        <w:spacing w:after="0" w:line="600" w:lineRule="exact"/>
        <w:rPr>
          <w:rFonts w:hint="eastAsia" w:ascii="楷体" w:hAnsi="楷体" w:eastAsia="楷体" w:cs="楷体"/>
          <w:b/>
          <w:bCs/>
          <w:sz w:val="32"/>
          <w:szCs w:val="32"/>
          <w:u w:val="none"/>
        </w:rPr>
      </w:pPr>
    </w:p>
    <w:p w14:paraId="4C3A186D">
      <w:pPr>
        <w:pStyle w:val="10"/>
        <w:pageBreakBefore w:val="0"/>
        <w:tabs>
          <w:tab w:val="left" w:pos="4275"/>
        </w:tabs>
        <w:kinsoku/>
        <w:wordWrap/>
        <w:overflowPunct/>
        <w:topLinePunct w:val="0"/>
        <w:bidi w:val="0"/>
        <w:spacing w:after="0" w:line="600" w:lineRule="exact"/>
        <w:rPr>
          <w:rFonts w:hint="eastAsia" w:ascii="楷体" w:hAnsi="楷体" w:eastAsia="楷体" w:cs="楷体"/>
          <w:b/>
          <w:bCs/>
          <w:sz w:val="32"/>
          <w:szCs w:val="32"/>
          <w:u w:val="none"/>
        </w:rPr>
      </w:pPr>
    </w:p>
    <w:p w14:paraId="7D76653A">
      <w:pPr>
        <w:pStyle w:val="10"/>
        <w:pageBreakBefore w:val="0"/>
        <w:tabs>
          <w:tab w:val="left" w:pos="4275"/>
        </w:tabs>
        <w:kinsoku/>
        <w:wordWrap/>
        <w:overflowPunct/>
        <w:topLinePunct w:val="0"/>
        <w:bidi w:val="0"/>
        <w:spacing w:after="0" w:line="600" w:lineRule="exact"/>
        <w:ind w:firstLine="643" w:firstLineChars="200"/>
        <w:rPr>
          <w:rFonts w:ascii="楷体" w:hAnsi="楷体" w:eastAsia="楷体" w:cs="楷体"/>
          <w:b/>
          <w:bCs/>
          <w:sz w:val="32"/>
          <w:szCs w:val="32"/>
          <w:u w:val="none"/>
        </w:rPr>
      </w:pPr>
      <w:r>
        <w:rPr>
          <w:rFonts w:hint="eastAsia" w:ascii="楷体" w:hAnsi="楷体" w:eastAsia="楷体" w:cs="楷体"/>
          <w:b/>
          <w:bCs/>
          <w:sz w:val="32"/>
          <w:szCs w:val="32"/>
          <w:u w:val="none"/>
        </w:rPr>
        <w:t>（二）支出预算总计</w:t>
      </w:r>
      <w:r>
        <w:rPr>
          <w:rFonts w:hint="eastAsia" w:ascii="仿宋" w:hAnsi="仿宋" w:eastAsia="仿宋" w:cs="仿宋"/>
          <w:sz w:val="32"/>
          <w:szCs w:val="32"/>
          <w:u w:val="none"/>
        </w:rPr>
        <w:t>23</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412</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8</w:t>
      </w:r>
      <w:r>
        <w:rPr>
          <w:rFonts w:hint="eastAsia" w:ascii="仿宋" w:hAnsi="仿宋" w:eastAsia="仿宋" w:cs="仿宋"/>
          <w:sz w:val="32"/>
          <w:szCs w:val="32"/>
          <w:u w:val="none"/>
          <w:lang w:val="en-US" w:eastAsia="zh-CN"/>
        </w:rPr>
        <w:t>8</w:t>
      </w:r>
      <w:r>
        <w:rPr>
          <w:rFonts w:hint="eastAsia" w:ascii="楷体" w:hAnsi="楷体" w:eastAsia="楷体" w:cs="楷体"/>
          <w:b/>
          <w:bCs/>
          <w:sz w:val="32"/>
          <w:szCs w:val="32"/>
          <w:u w:val="none"/>
        </w:rPr>
        <w:t>万元。包括：</w:t>
      </w:r>
    </w:p>
    <w:p w14:paraId="78FFB548">
      <w:pPr>
        <w:pStyle w:val="10"/>
        <w:pageBreakBefore w:val="0"/>
        <w:tabs>
          <w:tab w:val="left" w:pos="3792"/>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1．本年支出合计23</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412</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8</w:t>
      </w:r>
      <w:r>
        <w:rPr>
          <w:rFonts w:hint="eastAsia" w:ascii="仿宋" w:hAnsi="仿宋" w:eastAsia="仿宋" w:cs="仿宋"/>
          <w:sz w:val="32"/>
          <w:szCs w:val="32"/>
          <w:u w:val="none"/>
          <w:lang w:val="en-US" w:eastAsia="zh-CN"/>
        </w:rPr>
        <w:t>8</w:t>
      </w:r>
      <w:r>
        <w:rPr>
          <w:rFonts w:hint="eastAsia" w:ascii="仿宋" w:hAnsi="仿宋" w:eastAsia="仿宋" w:cs="仿宋"/>
          <w:sz w:val="32"/>
          <w:szCs w:val="32"/>
          <w:u w:val="none"/>
        </w:rPr>
        <w:t>万元。</w:t>
      </w:r>
    </w:p>
    <w:p w14:paraId="2468F6AE">
      <w:pPr>
        <w:pStyle w:val="10"/>
        <w:pageBreakBefore w:val="0"/>
        <w:widowControl w:val="0"/>
        <w:tabs>
          <w:tab w:val="left" w:pos="4275"/>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社会保障和就业（类）支出1,534.44万元，主要用于离退休支出、机关事业单位基本养老保险缴费支出、机关事业单位职业年金缴费支出。与上年相比减少125.41万元，减少7.56%。主要原因：本年预算减少离退休人员艰苦边远地区补贴。</w:t>
      </w:r>
    </w:p>
    <w:p w14:paraId="328C6E8E">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（2）卫生健康</w:t>
      </w:r>
      <w:r>
        <w:rPr>
          <w:rFonts w:hint="eastAsia" w:ascii="仿宋" w:hAnsi="仿宋" w:eastAsia="仿宋" w:cs="仿宋"/>
          <w:sz w:val="32"/>
          <w:szCs w:val="32"/>
          <w:u w:val="none"/>
          <w:lang w:eastAsia="zh-CN"/>
        </w:rPr>
        <w:t>（类）</w:t>
      </w:r>
      <w:r>
        <w:rPr>
          <w:rFonts w:hint="eastAsia" w:ascii="仿宋" w:hAnsi="仿宋" w:eastAsia="仿宋" w:cs="仿宋"/>
          <w:sz w:val="32"/>
          <w:szCs w:val="32"/>
          <w:u w:val="none"/>
        </w:rPr>
        <w:t>支出21</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290</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2</w:t>
      </w:r>
      <w:r>
        <w:rPr>
          <w:rFonts w:hint="eastAsia" w:ascii="仿宋" w:hAnsi="仿宋" w:eastAsia="仿宋" w:cs="仿宋"/>
          <w:sz w:val="32"/>
          <w:szCs w:val="32"/>
          <w:u w:val="none"/>
          <w:lang w:val="en-US" w:eastAsia="zh-CN"/>
        </w:rPr>
        <w:t>1</w:t>
      </w:r>
      <w:r>
        <w:rPr>
          <w:rFonts w:hint="eastAsia" w:ascii="仿宋" w:hAnsi="仿宋" w:eastAsia="仿宋" w:cs="仿宋"/>
          <w:sz w:val="32"/>
          <w:szCs w:val="32"/>
          <w:u w:val="none"/>
        </w:rPr>
        <w:t>万元，主要用于医院在职职工工资、医疗保险支出、失业保险支出、工伤保险支出、在职人员取暖费、福利费、工会经费支出、离退休公用经费支出。与上年相比</w:t>
      </w:r>
      <w:r>
        <w:rPr>
          <w:rFonts w:hint="eastAsia" w:ascii="仿宋" w:hAnsi="仿宋" w:eastAsia="仿宋" w:cs="仿宋"/>
          <w:sz w:val="32"/>
          <w:szCs w:val="32"/>
          <w:u w:val="none"/>
          <w:lang w:val="en-US" w:eastAsia="zh-CN"/>
        </w:rPr>
        <w:t>减少</w:t>
      </w:r>
      <w:r>
        <w:rPr>
          <w:rFonts w:hint="eastAsia" w:ascii="仿宋" w:hAnsi="仿宋" w:eastAsia="仿宋" w:cs="仿宋"/>
          <w:sz w:val="32"/>
          <w:szCs w:val="32"/>
          <w:u w:val="none"/>
        </w:rPr>
        <w:t>9</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295.27万元，</w:t>
      </w:r>
      <w:r>
        <w:rPr>
          <w:rFonts w:hint="eastAsia" w:ascii="仿宋" w:hAnsi="仿宋" w:eastAsia="仿宋" w:cs="仿宋"/>
          <w:sz w:val="32"/>
          <w:szCs w:val="32"/>
          <w:u w:val="none"/>
          <w:lang w:val="en-US" w:eastAsia="zh-CN"/>
        </w:rPr>
        <w:t>减少</w:t>
      </w:r>
      <w:r>
        <w:rPr>
          <w:rFonts w:hint="eastAsia" w:ascii="仿宋" w:hAnsi="仿宋" w:eastAsia="仿宋" w:cs="仿宋"/>
          <w:sz w:val="32"/>
          <w:szCs w:val="32"/>
          <w:u w:val="none"/>
        </w:rPr>
        <w:t>30.39%。</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lang w:val="en-US" w:eastAsia="zh-CN"/>
        </w:rPr>
        <w:t>本年取消上年未开展或者无法开展的项目38个。</w:t>
      </w:r>
    </w:p>
    <w:p w14:paraId="5E43F5E1">
      <w:pPr>
        <w:pStyle w:val="10"/>
        <w:pageBreakBefore w:val="0"/>
        <w:tabs>
          <w:tab w:val="left" w:pos="4112"/>
        </w:tabs>
        <w:kinsoku/>
        <w:wordWrap/>
        <w:overflowPunct/>
        <w:topLinePunct w:val="0"/>
        <w:bidi w:val="0"/>
        <w:spacing w:after="0" w:line="600" w:lineRule="exact"/>
        <w:ind w:firstLine="640" w:firstLineChars="200"/>
        <w:rPr>
          <w:rFonts w:hint="eastAsia" w:ascii="仿宋" w:hAnsi="仿宋" w:eastAsia="仿宋" w:cs="仿宋"/>
          <w:kern w:val="2"/>
          <w:sz w:val="32"/>
          <w:szCs w:val="32"/>
          <w:u w:val="none"/>
          <w:lang w:val="en-US" w:eastAsia="zh-CN" w:bidi="ar-SA"/>
        </w:rPr>
      </w:pPr>
      <w:r>
        <w:rPr>
          <w:rFonts w:hint="eastAsia" w:ascii="仿宋" w:hAnsi="仿宋" w:eastAsia="仿宋" w:cs="仿宋"/>
          <w:kern w:val="2"/>
          <w:sz w:val="32"/>
          <w:szCs w:val="32"/>
          <w:u w:val="none"/>
          <w:lang w:val="en-US" w:eastAsia="zh-CN" w:bidi="ar-SA"/>
        </w:rPr>
        <w:t>（3）住房保障（类）支出588.22万元，主要用于在职人员住房公积金缴费支出。与上年相比减少16.7万元，减少2.76%。增加人员月公积金基数小于减少人员月公积金基数，使住房公积支出全年减少16.7万元。</w:t>
      </w:r>
    </w:p>
    <w:p w14:paraId="27C01DFF">
      <w:pPr>
        <w:pStyle w:val="10"/>
        <w:pageBreakBefore w:val="0"/>
        <w:tabs>
          <w:tab w:val="left" w:pos="4112"/>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2．年终结转结余为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lang w:val="en-US" w:eastAsia="zh-CN"/>
        </w:rPr>
        <w:t>本年度无上年结转结余</w:t>
      </w:r>
      <w:r>
        <w:rPr>
          <w:rFonts w:hint="eastAsia" w:ascii="仿宋" w:hAnsi="仿宋" w:eastAsia="仿宋" w:cs="仿宋"/>
          <w:sz w:val="32"/>
          <w:szCs w:val="32"/>
          <w:u w:val="none"/>
        </w:rPr>
        <w:t>。</w:t>
      </w:r>
    </w:p>
    <w:p w14:paraId="4D9A53F5">
      <w:pPr>
        <w:pStyle w:val="10"/>
        <w:pageBreakBefore w:val="0"/>
        <w:tabs>
          <w:tab w:val="left" w:pos="4112"/>
        </w:tabs>
        <w:kinsoku/>
        <w:wordWrap/>
        <w:overflowPunct/>
        <w:topLinePunct w:val="0"/>
        <w:bidi w:val="0"/>
        <w:spacing w:after="0" w:line="600" w:lineRule="exact"/>
        <w:ind w:firstLine="420" w:firstLineChars="200"/>
        <w:rPr>
          <w:rFonts w:hint="eastAsia" w:ascii="仿宋" w:hAnsi="仿宋" w:eastAsia="仿宋" w:cs="仿宋"/>
          <w:sz w:val="32"/>
          <w:szCs w:val="32"/>
          <w:u w:val="none"/>
        </w:rPr>
      </w:pPr>
      <w:r>
        <w:drawing>
          <wp:anchor distT="0" distB="0" distL="114300" distR="114300" simplePos="0" relativeHeight="251661312" behindDoc="0" locked="0" layoutInCell="1" allowOverlap="1">
            <wp:simplePos x="0" y="0"/>
            <wp:positionH relativeFrom="column">
              <wp:posOffset>26035</wp:posOffset>
            </wp:positionH>
            <wp:positionV relativeFrom="paragraph">
              <wp:posOffset>442595</wp:posOffset>
            </wp:positionV>
            <wp:extent cx="6191250" cy="3176905"/>
            <wp:effectExtent l="4445" t="4445" r="14605" b="19050"/>
            <wp:wrapTopAndBottom/>
            <wp:docPr id="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2DA914FC">
      <w:pPr>
        <w:pStyle w:val="10"/>
        <w:pageBreakBefore w:val="0"/>
        <w:tabs>
          <w:tab w:val="left" w:pos="4112"/>
        </w:tabs>
        <w:kinsoku/>
        <w:wordWrap/>
        <w:overflowPunct/>
        <w:topLinePunct w:val="0"/>
        <w:bidi w:val="0"/>
        <w:spacing w:after="0" w:line="600" w:lineRule="exact"/>
        <w:ind w:firstLine="640" w:firstLineChars="200"/>
        <w:rPr>
          <w:rFonts w:hint="eastAsia" w:eastAsia="黑体" w:cs="黑体"/>
          <w:b w:val="0"/>
          <w:bCs w:val="0"/>
          <w:sz w:val="32"/>
          <w:szCs w:val="36"/>
          <w:u w:val="none"/>
        </w:rPr>
      </w:pPr>
    </w:p>
    <w:p w14:paraId="0C34CDA6">
      <w:pPr>
        <w:pageBreakBefore w:val="0"/>
        <w:kinsoku/>
        <w:wordWrap/>
        <w:overflowPunct/>
        <w:topLinePunct w:val="0"/>
        <w:bidi w:val="0"/>
        <w:spacing w:line="600" w:lineRule="exact"/>
        <w:ind w:firstLine="640" w:firstLineChars="200"/>
        <w:outlineLvl w:val="0"/>
        <w:rPr>
          <w:rFonts w:eastAsia="黑体" w:cs="黑体"/>
          <w:b w:val="0"/>
          <w:bCs w:val="0"/>
          <w:sz w:val="32"/>
          <w:szCs w:val="36"/>
          <w:u w:val="none"/>
        </w:rPr>
      </w:pPr>
      <w:r>
        <w:rPr>
          <w:rFonts w:hint="eastAsia" w:eastAsia="黑体" w:cs="黑体"/>
          <w:b w:val="0"/>
          <w:bCs w:val="0"/>
          <w:sz w:val="32"/>
          <w:szCs w:val="36"/>
          <w:u w:val="none"/>
        </w:rPr>
        <w:t>二、收入预算情况说明</w:t>
      </w:r>
    </w:p>
    <w:p w14:paraId="1656E109">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lang w:eastAsia="zh-CN"/>
        </w:rPr>
        <w:t>包头市第八医院2025年</w:t>
      </w:r>
      <w:r>
        <w:rPr>
          <w:rFonts w:hint="eastAsia" w:ascii="仿宋" w:hAnsi="仿宋" w:eastAsia="仿宋" w:cs="仿宋"/>
          <w:sz w:val="32"/>
          <w:szCs w:val="32"/>
          <w:u w:val="none"/>
        </w:rPr>
        <w:t>收入预算合计23</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412</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8</w:t>
      </w:r>
      <w:r>
        <w:rPr>
          <w:rFonts w:hint="eastAsia" w:ascii="仿宋" w:hAnsi="仿宋" w:eastAsia="仿宋" w:cs="仿宋"/>
          <w:sz w:val="32"/>
          <w:szCs w:val="32"/>
          <w:u w:val="none"/>
          <w:lang w:val="en-US" w:eastAsia="zh-CN"/>
        </w:rPr>
        <w:t>8</w:t>
      </w:r>
      <w:r>
        <w:rPr>
          <w:rFonts w:hint="eastAsia" w:ascii="仿宋" w:hAnsi="仿宋" w:eastAsia="仿宋" w:cs="仿宋"/>
          <w:sz w:val="32"/>
          <w:szCs w:val="32"/>
          <w:u w:val="none"/>
        </w:rPr>
        <w:t>万元，包括本年收入23</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412</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8</w:t>
      </w:r>
      <w:r>
        <w:rPr>
          <w:rFonts w:hint="eastAsia" w:ascii="仿宋" w:hAnsi="仿宋" w:eastAsia="仿宋" w:cs="仿宋"/>
          <w:sz w:val="32"/>
          <w:szCs w:val="32"/>
          <w:u w:val="none"/>
          <w:lang w:val="en-US" w:eastAsia="zh-CN"/>
        </w:rPr>
        <w:t>8</w:t>
      </w:r>
      <w:r>
        <w:rPr>
          <w:rFonts w:hint="eastAsia" w:ascii="仿宋" w:hAnsi="仿宋" w:eastAsia="仿宋" w:cs="仿宋"/>
          <w:sz w:val="32"/>
          <w:szCs w:val="32"/>
          <w:u w:val="none"/>
        </w:rPr>
        <w:t>万元，上年结转结余</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万元。其中：</w:t>
      </w:r>
    </w:p>
    <w:p w14:paraId="2897E536">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本年一般公共预算收入6</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258</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w:t>
      </w:r>
      <w:r>
        <w:rPr>
          <w:rFonts w:hint="eastAsia" w:ascii="仿宋" w:hAnsi="仿宋" w:eastAsia="仿宋" w:cs="仿宋"/>
          <w:sz w:val="32"/>
          <w:szCs w:val="32"/>
          <w:u w:val="none"/>
          <w:lang w:val="en-US" w:eastAsia="zh-CN"/>
        </w:rPr>
        <w:t>6</w:t>
      </w:r>
      <w:r>
        <w:rPr>
          <w:rFonts w:hint="eastAsia" w:ascii="仿宋" w:hAnsi="仿宋" w:eastAsia="仿宋" w:cs="仿宋"/>
          <w:sz w:val="32"/>
          <w:szCs w:val="32"/>
          <w:u w:val="none"/>
        </w:rPr>
        <w:t>万元，占26.73%；</w:t>
      </w:r>
    </w:p>
    <w:p w14:paraId="74BD6F2C">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本年政府性基金预算收入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78170E75">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本年国有资本经营预算收入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429C56B1">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本年财政专户管理资金</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2D48AE0D">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本年事业收入17</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154</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w:t>
      </w:r>
      <w:r>
        <w:rPr>
          <w:rFonts w:hint="eastAsia" w:ascii="仿宋" w:hAnsi="仿宋" w:eastAsia="仿宋" w:cs="仿宋"/>
          <w:sz w:val="32"/>
          <w:szCs w:val="32"/>
          <w:u w:val="none"/>
          <w:lang w:val="en-US" w:eastAsia="zh-CN"/>
        </w:rPr>
        <w:t>2</w:t>
      </w:r>
      <w:r>
        <w:rPr>
          <w:rFonts w:hint="eastAsia" w:ascii="仿宋" w:hAnsi="仿宋" w:eastAsia="仿宋" w:cs="仿宋"/>
          <w:sz w:val="32"/>
          <w:szCs w:val="32"/>
          <w:u w:val="none"/>
        </w:rPr>
        <w:t>万元，占73.27%；</w:t>
      </w:r>
    </w:p>
    <w:p w14:paraId="5EA87748">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本年事业单位经营收入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1C9483BF">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本年上级补助收入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7EBE1F2F">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本年附属单位上缴收入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0AF42A89">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本年其他收入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7D98E122">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上年结转结余的一般公共预算收入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1966B512">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上年结转结余的政府性基金预算收入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24E44226">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上年结转结余的国有资本经营预算收入</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109D2BE0">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上年结转结余的财政专户管理资金</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39021046">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上年结转结余的单位资金</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0EB161CE">
      <w:pPr>
        <w:pStyle w:val="10"/>
        <w:pageBreakBefore w:val="0"/>
        <w:tabs>
          <w:tab w:val="left" w:pos="2671"/>
          <w:tab w:val="left" w:pos="5000"/>
          <w:tab w:val="left" w:pos="6190"/>
        </w:tabs>
        <w:kinsoku/>
        <w:wordWrap/>
        <w:overflowPunct/>
        <w:topLinePunct w:val="0"/>
        <w:bidi w:val="0"/>
        <w:spacing w:after="0" w:line="600" w:lineRule="exact"/>
        <w:ind w:firstLine="420" w:firstLineChars="200"/>
        <w:rPr>
          <w:rFonts w:hint="eastAsia" w:ascii="仿宋" w:hAnsi="仿宋" w:eastAsia="仿宋" w:cs="仿宋"/>
          <w:sz w:val="32"/>
          <w:szCs w:val="32"/>
          <w:u w:val="none"/>
        </w:rPr>
      </w:pPr>
      <w:r>
        <w:drawing>
          <wp:anchor distT="0" distB="0" distL="114300" distR="114300" simplePos="0" relativeHeight="251662336" behindDoc="0" locked="0" layoutInCell="1" allowOverlap="1">
            <wp:simplePos x="0" y="0"/>
            <wp:positionH relativeFrom="column">
              <wp:posOffset>324485</wp:posOffset>
            </wp:positionH>
            <wp:positionV relativeFrom="paragraph">
              <wp:posOffset>231140</wp:posOffset>
            </wp:positionV>
            <wp:extent cx="5708015" cy="2654935"/>
            <wp:effectExtent l="4445" t="4445" r="21590" b="7620"/>
            <wp:wrapTopAndBottom/>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04937BC7">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p>
    <w:p w14:paraId="229DE746">
      <w:pPr>
        <w:pageBreakBefore w:val="0"/>
        <w:kinsoku/>
        <w:wordWrap/>
        <w:overflowPunct/>
        <w:topLinePunct w:val="0"/>
        <w:bidi w:val="0"/>
        <w:spacing w:line="600" w:lineRule="exact"/>
        <w:ind w:firstLine="640" w:firstLineChars="200"/>
        <w:outlineLvl w:val="0"/>
        <w:rPr>
          <w:rFonts w:eastAsia="黑体" w:cs="黑体"/>
          <w:b w:val="0"/>
          <w:bCs w:val="0"/>
          <w:sz w:val="32"/>
          <w:szCs w:val="36"/>
          <w:u w:val="none"/>
        </w:rPr>
      </w:pPr>
      <w:r>
        <w:rPr>
          <w:rFonts w:hint="eastAsia" w:eastAsia="黑体" w:cs="黑体"/>
          <w:b w:val="0"/>
          <w:bCs w:val="0"/>
          <w:sz w:val="32"/>
          <w:szCs w:val="36"/>
          <w:u w:val="none"/>
        </w:rPr>
        <w:t>三、支出预算情况说明</w:t>
      </w:r>
    </w:p>
    <w:p w14:paraId="41ED67C1">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lang w:eastAsia="zh-CN"/>
        </w:rPr>
        <w:t>包头市第八医院2025年</w:t>
      </w:r>
      <w:r>
        <w:rPr>
          <w:rFonts w:hint="eastAsia" w:ascii="仿宋" w:hAnsi="仿宋" w:eastAsia="仿宋" w:cs="仿宋"/>
          <w:sz w:val="32"/>
          <w:szCs w:val="32"/>
          <w:u w:val="none"/>
        </w:rPr>
        <w:t>支出预算合计23</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412</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8</w:t>
      </w:r>
      <w:r>
        <w:rPr>
          <w:rFonts w:hint="eastAsia" w:ascii="仿宋" w:hAnsi="仿宋" w:eastAsia="仿宋" w:cs="仿宋"/>
          <w:sz w:val="32"/>
          <w:szCs w:val="32"/>
          <w:u w:val="none"/>
          <w:lang w:val="en-US" w:eastAsia="zh-CN"/>
        </w:rPr>
        <w:t>8</w:t>
      </w:r>
      <w:r>
        <w:rPr>
          <w:rFonts w:hint="eastAsia" w:ascii="仿宋" w:hAnsi="仿宋" w:eastAsia="仿宋" w:cs="仿宋"/>
          <w:sz w:val="32"/>
          <w:szCs w:val="32"/>
          <w:u w:val="none"/>
        </w:rPr>
        <w:t>万元，其中：</w:t>
      </w:r>
    </w:p>
    <w:p w14:paraId="579A1460">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基本支出8</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762</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67万元，占37.43%；</w:t>
      </w:r>
    </w:p>
    <w:p w14:paraId="17A21C5C">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项目支出14</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650</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21万元，占62.57%；</w:t>
      </w:r>
    </w:p>
    <w:p w14:paraId="4E66ADD8">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事业单位经营支出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79B791AC">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上缴上级支出</w:t>
      </w:r>
      <w:r>
        <w:rPr>
          <w:rFonts w:hint="eastAsia" w:ascii="仿宋" w:hAnsi="仿宋" w:eastAsia="仿宋" w:cs="仿宋"/>
          <w:sz w:val="32"/>
          <w:szCs w:val="32"/>
          <w:u w:val="none"/>
        </w:rPr>
        <w:tab/>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1787AE90">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对附属单位补助支出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w:t>
      </w:r>
    </w:p>
    <w:p w14:paraId="0931400A">
      <w:pPr>
        <w:pStyle w:val="10"/>
        <w:pageBreakBefore w:val="0"/>
        <w:tabs>
          <w:tab w:val="left" w:pos="2671"/>
          <w:tab w:val="left" w:pos="5000"/>
          <w:tab w:val="left" w:pos="6190"/>
        </w:tabs>
        <w:kinsoku/>
        <w:wordWrap/>
        <w:overflowPunct/>
        <w:topLinePunct w:val="0"/>
        <w:bidi w:val="0"/>
        <w:spacing w:after="0" w:line="600" w:lineRule="exact"/>
        <w:ind w:firstLine="420" w:firstLineChars="200"/>
        <w:rPr>
          <w:rFonts w:hint="eastAsia" w:ascii="仿宋" w:hAnsi="仿宋" w:eastAsia="仿宋" w:cs="仿宋"/>
          <w:sz w:val="32"/>
          <w:szCs w:val="32"/>
          <w:u w:val="none"/>
        </w:rPr>
      </w:pPr>
      <w:bookmarkStart w:id="0" w:name="_GoBack"/>
      <w:r>
        <w:drawing>
          <wp:anchor distT="0" distB="0" distL="114300" distR="114300" simplePos="0" relativeHeight="251663360" behindDoc="0" locked="0" layoutInCell="1" allowOverlap="1">
            <wp:simplePos x="0" y="0"/>
            <wp:positionH relativeFrom="column">
              <wp:posOffset>419735</wp:posOffset>
            </wp:positionH>
            <wp:positionV relativeFrom="paragraph">
              <wp:posOffset>347345</wp:posOffset>
            </wp:positionV>
            <wp:extent cx="5666105" cy="2707640"/>
            <wp:effectExtent l="4445" t="4445" r="6350" b="12065"/>
            <wp:wrapTopAndBottom/>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End w:id="0"/>
    </w:p>
    <w:p w14:paraId="19BEC09F">
      <w:pPr>
        <w:pageBreakBefore w:val="0"/>
        <w:kinsoku/>
        <w:wordWrap/>
        <w:overflowPunct/>
        <w:topLinePunct w:val="0"/>
        <w:bidi w:val="0"/>
        <w:spacing w:line="600" w:lineRule="exact"/>
        <w:ind w:firstLine="640" w:firstLineChars="200"/>
        <w:outlineLvl w:val="0"/>
        <w:rPr>
          <w:rFonts w:eastAsia="黑体" w:cs="黑体"/>
          <w:b w:val="0"/>
          <w:bCs w:val="0"/>
          <w:sz w:val="32"/>
          <w:szCs w:val="36"/>
          <w:u w:val="none"/>
        </w:rPr>
      </w:pPr>
      <w:r>
        <w:rPr>
          <w:rFonts w:hint="eastAsia" w:eastAsia="黑体" w:cs="黑体"/>
          <w:b w:val="0"/>
          <w:bCs w:val="0"/>
          <w:sz w:val="32"/>
          <w:szCs w:val="36"/>
          <w:u w:val="none"/>
        </w:rPr>
        <w:t>四、财政拨款收支预算总体情况说明</w:t>
      </w:r>
    </w:p>
    <w:p w14:paraId="606AFE79">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lang w:eastAsia="zh-CN"/>
        </w:rPr>
        <w:t>包头市第八医院2025年度</w:t>
      </w:r>
      <w:r>
        <w:rPr>
          <w:rFonts w:hint="eastAsia" w:ascii="仿宋" w:hAnsi="仿宋" w:eastAsia="仿宋" w:cs="仿宋"/>
          <w:sz w:val="32"/>
          <w:szCs w:val="32"/>
          <w:u w:val="none"/>
        </w:rPr>
        <w:t>财政拨款收、支总预算6</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258</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w:t>
      </w:r>
      <w:r>
        <w:rPr>
          <w:rFonts w:hint="eastAsia" w:ascii="仿宋" w:hAnsi="仿宋" w:eastAsia="仿宋" w:cs="仿宋"/>
          <w:sz w:val="32"/>
          <w:szCs w:val="32"/>
          <w:u w:val="none"/>
          <w:lang w:val="en-US" w:eastAsia="zh-CN"/>
        </w:rPr>
        <w:t>6</w:t>
      </w:r>
      <w:r>
        <w:rPr>
          <w:rFonts w:hint="eastAsia" w:ascii="仿宋" w:hAnsi="仿宋" w:eastAsia="仿宋" w:cs="仿宋"/>
          <w:sz w:val="32"/>
          <w:szCs w:val="32"/>
          <w:u w:val="none"/>
        </w:rPr>
        <w:t>万元。与上年相比，财政拨款收、支总计各</w:t>
      </w:r>
      <w:r>
        <w:rPr>
          <w:rFonts w:hint="eastAsia" w:ascii="仿宋" w:hAnsi="仿宋" w:eastAsia="仿宋" w:cs="仿宋"/>
          <w:sz w:val="32"/>
          <w:szCs w:val="32"/>
          <w:u w:val="none"/>
          <w:lang w:val="en-US" w:eastAsia="zh-CN"/>
        </w:rPr>
        <w:t>减少</w:t>
      </w:r>
      <w:r>
        <w:rPr>
          <w:rFonts w:hint="eastAsia" w:ascii="仿宋" w:hAnsi="仿宋" w:eastAsia="仿宋" w:cs="仿宋"/>
          <w:sz w:val="32"/>
          <w:szCs w:val="32"/>
          <w:u w:val="none"/>
        </w:rPr>
        <w:t>205.82万元，减少</w:t>
      </w:r>
      <w:r>
        <w:rPr>
          <w:rFonts w:hint="eastAsia" w:ascii="仿宋" w:hAnsi="仿宋" w:eastAsia="仿宋" w:cs="仿宋"/>
          <w:sz w:val="32"/>
          <w:szCs w:val="32"/>
          <w:u w:val="none"/>
          <w:lang w:val="en-US" w:eastAsia="zh-CN"/>
        </w:rPr>
        <w:t>3.1</w:t>
      </w:r>
      <w:r>
        <w:rPr>
          <w:rFonts w:hint="eastAsia" w:ascii="仿宋" w:hAnsi="仿宋" w:eastAsia="仿宋" w:cs="仿宋"/>
          <w:sz w:val="32"/>
          <w:szCs w:val="32"/>
          <w:u w:val="none"/>
        </w:rPr>
        <w:t>%。</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rPr>
        <w:t>本年预算</w:t>
      </w:r>
      <w:r>
        <w:rPr>
          <w:rFonts w:hint="eastAsia" w:ascii="仿宋" w:hAnsi="仿宋" w:eastAsia="仿宋" w:cs="仿宋"/>
          <w:sz w:val="32"/>
          <w:szCs w:val="32"/>
          <w:u w:val="none"/>
          <w:lang w:val="en-US" w:eastAsia="zh-CN"/>
        </w:rPr>
        <w:t>取消在职及</w:t>
      </w:r>
      <w:r>
        <w:rPr>
          <w:rFonts w:hint="eastAsia" w:ascii="仿宋" w:hAnsi="仿宋" w:eastAsia="仿宋" w:cs="仿宋"/>
          <w:sz w:val="32"/>
          <w:szCs w:val="32"/>
          <w:u w:val="none"/>
        </w:rPr>
        <w:t>离退休人员艰苦边远地区补贴。</w:t>
      </w:r>
    </w:p>
    <w:p w14:paraId="53F6DDF7">
      <w:pPr>
        <w:pageBreakBefore w:val="0"/>
        <w:numPr>
          <w:ilvl w:val="0"/>
          <w:numId w:val="4"/>
        </w:numPr>
        <w:kinsoku/>
        <w:wordWrap/>
        <w:overflowPunct/>
        <w:topLinePunct w:val="0"/>
        <w:bidi w:val="0"/>
        <w:spacing w:line="600" w:lineRule="exact"/>
        <w:ind w:firstLine="640" w:firstLineChars="200"/>
        <w:outlineLvl w:val="0"/>
        <w:rPr>
          <w:rFonts w:hint="eastAsia" w:eastAsia="黑体" w:cs="黑体"/>
          <w:b w:val="0"/>
          <w:bCs w:val="0"/>
          <w:sz w:val="32"/>
          <w:szCs w:val="36"/>
          <w:u w:val="none"/>
        </w:rPr>
      </w:pPr>
      <w:r>
        <w:rPr>
          <w:rFonts w:hint="eastAsia" w:eastAsia="黑体" w:cs="黑体"/>
          <w:b w:val="0"/>
          <w:bCs w:val="0"/>
          <w:sz w:val="32"/>
          <w:szCs w:val="36"/>
          <w:u w:val="none"/>
        </w:rPr>
        <w:t>一般公共预算支出预算情况说明</w:t>
      </w:r>
    </w:p>
    <w:p w14:paraId="53620A73">
      <w:pPr>
        <w:pageBreakBefore w:val="0"/>
        <w:numPr>
          <w:ilvl w:val="0"/>
          <w:numId w:val="0"/>
        </w:numPr>
        <w:kinsoku/>
        <w:wordWrap/>
        <w:overflowPunct/>
        <w:topLinePunct w:val="0"/>
        <w:bidi w:val="0"/>
        <w:spacing w:line="600" w:lineRule="exact"/>
        <w:ind w:firstLine="640" w:firstLineChars="200"/>
        <w:outlineLvl w:val="0"/>
        <w:rPr>
          <w:rFonts w:hint="eastAsia" w:ascii="仿宋" w:hAnsi="仿宋" w:eastAsia="仿宋" w:cs="仿宋"/>
          <w:sz w:val="32"/>
          <w:szCs w:val="32"/>
          <w:u w:val="none"/>
        </w:rPr>
      </w:pPr>
      <w:r>
        <w:rPr>
          <w:rFonts w:hint="eastAsia" w:ascii="仿宋" w:hAnsi="仿宋" w:eastAsia="仿宋" w:cs="仿宋"/>
          <w:sz w:val="32"/>
          <w:szCs w:val="32"/>
          <w:u w:val="none"/>
          <w:lang w:eastAsia="zh-CN"/>
        </w:rPr>
        <w:t>包头市第八医院2025年</w:t>
      </w:r>
      <w:r>
        <w:rPr>
          <w:rFonts w:hint="eastAsia" w:ascii="仿宋" w:hAnsi="仿宋" w:eastAsia="仿宋" w:cs="仿宋"/>
          <w:sz w:val="32"/>
          <w:szCs w:val="32"/>
          <w:u w:val="none"/>
        </w:rPr>
        <w:t>一般公共预算财政拨款支出预算6</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258</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4</w:t>
      </w:r>
      <w:r>
        <w:rPr>
          <w:rFonts w:hint="eastAsia" w:ascii="仿宋" w:hAnsi="仿宋" w:eastAsia="仿宋" w:cs="仿宋"/>
          <w:sz w:val="32"/>
          <w:szCs w:val="32"/>
          <w:u w:val="none"/>
          <w:lang w:val="en-US" w:eastAsia="zh-CN"/>
        </w:rPr>
        <w:t>6</w:t>
      </w:r>
      <w:r>
        <w:rPr>
          <w:rFonts w:hint="eastAsia" w:ascii="仿宋" w:hAnsi="仿宋" w:eastAsia="仿宋" w:cs="仿宋"/>
          <w:sz w:val="32"/>
          <w:szCs w:val="32"/>
          <w:u w:val="none"/>
        </w:rPr>
        <w:t>万元，与上年相比</w:t>
      </w:r>
      <w:r>
        <w:rPr>
          <w:rFonts w:hint="eastAsia" w:ascii="仿宋" w:hAnsi="仿宋" w:eastAsia="仿宋" w:cs="仿宋"/>
          <w:sz w:val="32"/>
          <w:szCs w:val="32"/>
          <w:u w:val="none"/>
          <w:lang w:val="en-US" w:eastAsia="zh-CN"/>
        </w:rPr>
        <w:t>减少</w:t>
      </w:r>
      <w:r>
        <w:rPr>
          <w:rFonts w:hint="eastAsia" w:ascii="仿宋" w:hAnsi="仿宋" w:eastAsia="仿宋" w:cs="仿宋"/>
          <w:sz w:val="32"/>
          <w:szCs w:val="32"/>
          <w:u w:val="none"/>
        </w:rPr>
        <w:t>205.82万元，减少</w:t>
      </w:r>
      <w:r>
        <w:rPr>
          <w:rFonts w:hint="eastAsia" w:ascii="仿宋" w:hAnsi="仿宋" w:eastAsia="仿宋" w:cs="仿宋"/>
          <w:sz w:val="32"/>
          <w:szCs w:val="32"/>
          <w:u w:val="none"/>
          <w:lang w:val="en-US" w:eastAsia="zh-CN"/>
        </w:rPr>
        <w:t>3.1</w:t>
      </w:r>
      <w:r>
        <w:rPr>
          <w:rFonts w:hint="eastAsia" w:ascii="仿宋" w:hAnsi="仿宋" w:eastAsia="仿宋" w:cs="仿宋"/>
          <w:sz w:val="32"/>
          <w:szCs w:val="32"/>
          <w:u w:val="none"/>
        </w:rPr>
        <w:t>%。</w:t>
      </w:r>
      <w:r>
        <w:rPr>
          <w:rFonts w:hint="eastAsia" w:ascii="仿宋" w:hAnsi="仿宋" w:eastAsia="仿宋" w:cs="仿宋"/>
          <w:sz w:val="32"/>
          <w:szCs w:val="32"/>
          <w:u w:val="none"/>
          <w:lang w:eastAsia="zh-CN"/>
        </w:rPr>
        <w:t>主要原因：</w:t>
      </w:r>
      <w:r>
        <w:rPr>
          <w:rFonts w:hint="eastAsia" w:ascii="仿宋" w:hAnsi="仿宋" w:eastAsia="仿宋" w:cs="仿宋"/>
          <w:sz w:val="32"/>
          <w:szCs w:val="32"/>
          <w:u w:val="none"/>
        </w:rPr>
        <w:t>本年预算</w:t>
      </w:r>
      <w:r>
        <w:rPr>
          <w:rFonts w:hint="eastAsia" w:ascii="仿宋" w:hAnsi="仿宋" w:eastAsia="仿宋" w:cs="仿宋"/>
          <w:sz w:val="32"/>
          <w:szCs w:val="32"/>
          <w:u w:val="none"/>
          <w:lang w:val="en-US" w:eastAsia="zh-CN"/>
        </w:rPr>
        <w:t>取消在职及</w:t>
      </w:r>
      <w:r>
        <w:rPr>
          <w:rFonts w:hint="eastAsia" w:ascii="仿宋" w:hAnsi="仿宋" w:eastAsia="仿宋" w:cs="仿宋"/>
          <w:sz w:val="32"/>
          <w:szCs w:val="32"/>
          <w:u w:val="none"/>
        </w:rPr>
        <w:t>离退休人员艰苦边远地区补贴。</w:t>
      </w:r>
    </w:p>
    <w:p w14:paraId="29929F2C">
      <w:pPr>
        <w:pStyle w:val="10"/>
        <w:pageBreakBefore w:val="0"/>
        <w:widowControl w:val="0"/>
        <w:numPr>
          <w:ilvl w:val="0"/>
          <w:numId w:val="5"/>
        </w:numPr>
        <w:kinsoku/>
        <w:wordWrap/>
        <w:overflowPunct/>
        <w:topLinePunct w:val="0"/>
        <w:bidi w:val="0"/>
        <w:spacing w:after="0" w:line="560" w:lineRule="exact"/>
        <w:ind w:firstLine="643" w:firstLineChars="200"/>
        <w:textAlignment w:val="auto"/>
        <w:rPr>
          <w:rFonts w:ascii="楷体" w:hAnsi="楷体" w:eastAsia="楷体" w:cs="楷体"/>
          <w:b/>
          <w:bCs/>
          <w:sz w:val="32"/>
          <w:szCs w:val="32"/>
          <w:u w:val="none"/>
        </w:rPr>
      </w:pPr>
      <w:r>
        <w:rPr>
          <w:rFonts w:ascii="楷体" w:hAnsi="楷体" w:eastAsia="楷体" w:cs="楷体"/>
          <w:b/>
          <w:bCs/>
          <w:sz w:val="32"/>
          <w:szCs w:val="32"/>
          <w:u w:val="none"/>
        </w:rPr>
        <w:t>社会保障和就业支出（类）</w:t>
      </w:r>
    </w:p>
    <w:p w14:paraId="0EED04EB">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eastAsia="zh-CN"/>
        </w:rPr>
      </w:pPr>
      <w:r>
        <w:rPr>
          <w:rFonts w:hint="eastAsia" w:ascii="仿宋" w:hAnsi="仿宋" w:eastAsia="仿宋" w:cs="仿宋"/>
          <w:sz w:val="32"/>
          <w:szCs w:val="32"/>
          <w:u w:val="none"/>
          <w:lang w:eastAsia="zh-CN"/>
        </w:rPr>
        <w:t>社会保障和就业支出（类）年初预算数为1194.12万元，与上年相比减少</w:t>
      </w:r>
      <w:r>
        <w:rPr>
          <w:rFonts w:hint="eastAsia" w:ascii="仿宋" w:hAnsi="仿宋" w:eastAsia="仿宋" w:cs="仿宋"/>
          <w:sz w:val="32"/>
          <w:szCs w:val="32"/>
          <w:u w:val="none"/>
          <w:lang w:val="en-US" w:eastAsia="zh-CN"/>
        </w:rPr>
        <w:t>115.25</w:t>
      </w:r>
      <w:r>
        <w:rPr>
          <w:rFonts w:hint="eastAsia" w:ascii="仿宋" w:hAnsi="仿宋" w:eastAsia="仿宋" w:cs="仿宋"/>
          <w:sz w:val="32"/>
          <w:szCs w:val="32"/>
          <w:u w:val="none"/>
          <w:lang w:eastAsia="zh-CN"/>
        </w:rPr>
        <w:t>万元。其中：</w:t>
      </w:r>
    </w:p>
    <w:p w14:paraId="4BA8E416">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eastAsia="zh-CN"/>
        </w:rPr>
      </w:pPr>
      <w:r>
        <w:rPr>
          <w:rFonts w:hint="eastAsia" w:ascii="仿宋" w:hAnsi="仿宋" w:eastAsia="仿宋" w:cs="仿宋"/>
          <w:sz w:val="32"/>
          <w:szCs w:val="32"/>
          <w:u w:val="none"/>
          <w:lang w:eastAsia="zh-CN"/>
        </w:rPr>
        <w:t>1.行政事业单位养老支出（款）事业单位离退休（项）。年初预算400</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lang w:eastAsia="zh-CN"/>
        </w:rPr>
        <w:t>04万元，与上年相比</w:t>
      </w:r>
      <w:r>
        <w:rPr>
          <w:rFonts w:hint="eastAsia" w:ascii="仿宋" w:hAnsi="仿宋" w:eastAsia="仿宋" w:cs="仿宋"/>
          <w:sz w:val="32"/>
          <w:szCs w:val="32"/>
          <w:u w:val="none"/>
          <w:lang w:val="en-US" w:eastAsia="zh-CN"/>
        </w:rPr>
        <w:t>减少</w:t>
      </w:r>
      <w:r>
        <w:rPr>
          <w:rFonts w:hint="eastAsia" w:ascii="仿宋" w:hAnsi="仿宋" w:eastAsia="仿宋" w:cs="仿宋"/>
          <w:sz w:val="32"/>
          <w:szCs w:val="32"/>
          <w:u w:val="none"/>
          <w:lang w:eastAsia="zh-CN"/>
        </w:rPr>
        <w:t>91.5</w:t>
      </w:r>
      <w:r>
        <w:rPr>
          <w:rFonts w:hint="eastAsia" w:ascii="仿宋" w:hAnsi="仿宋" w:eastAsia="仿宋" w:cs="仿宋"/>
          <w:sz w:val="32"/>
          <w:szCs w:val="32"/>
          <w:u w:val="none"/>
          <w:lang w:val="en-US" w:eastAsia="zh-CN"/>
        </w:rPr>
        <w:t>3</w:t>
      </w:r>
      <w:r>
        <w:rPr>
          <w:rFonts w:hint="eastAsia" w:ascii="仿宋" w:hAnsi="仿宋" w:eastAsia="仿宋" w:cs="仿宋"/>
          <w:sz w:val="32"/>
          <w:szCs w:val="32"/>
          <w:u w:val="none"/>
          <w:lang w:eastAsia="zh-CN"/>
        </w:rPr>
        <w:t>万元，</w:t>
      </w:r>
      <w:r>
        <w:rPr>
          <w:rFonts w:hint="eastAsia" w:ascii="仿宋" w:hAnsi="仿宋" w:eastAsia="仿宋" w:cs="仿宋"/>
          <w:sz w:val="32"/>
          <w:szCs w:val="32"/>
          <w:u w:val="none"/>
          <w:lang w:val="en-US" w:eastAsia="zh-CN"/>
        </w:rPr>
        <w:t>减少</w:t>
      </w:r>
      <w:r>
        <w:rPr>
          <w:rFonts w:hint="eastAsia" w:ascii="仿宋" w:hAnsi="仿宋" w:eastAsia="仿宋" w:cs="仿宋"/>
          <w:sz w:val="32"/>
          <w:szCs w:val="32"/>
          <w:u w:val="none"/>
          <w:lang w:eastAsia="zh-CN"/>
        </w:rPr>
        <w:t>18.62%。变动原因：</w:t>
      </w:r>
      <w:r>
        <w:rPr>
          <w:rFonts w:hint="eastAsia" w:ascii="仿宋" w:hAnsi="仿宋" w:eastAsia="仿宋" w:cs="仿宋"/>
          <w:sz w:val="32"/>
          <w:szCs w:val="32"/>
          <w:u w:val="none"/>
          <w:lang w:val="en-US" w:eastAsia="zh-CN"/>
        </w:rPr>
        <w:t>本年预算取消离退休人员艰苦边远地区补贴</w:t>
      </w:r>
      <w:r>
        <w:rPr>
          <w:rFonts w:hint="eastAsia" w:ascii="仿宋" w:hAnsi="仿宋" w:eastAsia="仿宋" w:cs="仿宋"/>
          <w:sz w:val="32"/>
          <w:szCs w:val="32"/>
          <w:u w:val="none"/>
          <w:lang w:eastAsia="zh-CN"/>
        </w:rPr>
        <w:t>。</w:t>
      </w:r>
    </w:p>
    <w:p w14:paraId="281437E9">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lang w:eastAsia="zh-CN"/>
        </w:rPr>
      </w:pPr>
      <w:r>
        <w:rPr>
          <w:rFonts w:hint="eastAsia" w:ascii="仿宋" w:hAnsi="仿宋" w:eastAsia="仿宋" w:cs="仿宋"/>
          <w:sz w:val="32"/>
          <w:szCs w:val="32"/>
          <w:u w:val="none"/>
          <w:lang w:eastAsia="zh-CN"/>
        </w:rPr>
        <w:t>2.行政事业单位养老支出（款）机关事业单位基本养老保险缴费支出（项）。年初预算529</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lang w:eastAsia="zh-CN"/>
        </w:rPr>
        <w:t>3</w:t>
      </w:r>
      <w:r>
        <w:rPr>
          <w:rFonts w:hint="eastAsia" w:ascii="仿宋" w:hAnsi="仿宋" w:eastAsia="仿宋" w:cs="仿宋"/>
          <w:sz w:val="32"/>
          <w:szCs w:val="32"/>
          <w:u w:val="none"/>
          <w:lang w:val="en-US" w:eastAsia="zh-CN"/>
        </w:rPr>
        <w:t>9</w:t>
      </w:r>
      <w:r>
        <w:rPr>
          <w:rFonts w:hint="eastAsia" w:ascii="仿宋" w:hAnsi="仿宋" w:eastAsia="仿宋" w:cs="仿宋"/>
          <w:sz w:val="32"/>
          <w:szCs w:val="32"/>
          <w:u w:val="none"/>
          <w:lang w:eastAsia="zh-CN"/>
        </w:rPr>
        <w:t>万元，与上年相比</w:t>
      </w:r>
      <w:r>
        <w:rPr>
          <w:rFonts w:hint="eastAsia" w:ascii="仿宋" w:hAnsi="仿宋" w:eastAsia="仿宋" w:cs="仿宋"/>
          <w:sz w:val="32"/>
          <w:szCs w:val="32"/>
          <w:u w:val="none"/>
          <w:lang w:val="en-US" w:eastAsia="zh-CN"/>
        </w:rPr>
        <w:t>减少</w:t>
      </w:r>
      <w:r>
        <w:rPr>
          <w:rFonts w:hint="eastAsia" w:ascii="仿宋" w:hAnsi="仿宋" w:eastAsia="仿宋" w:cs="仿宋"/>
          <w:sz w:val="32"/>
          <w:szCs w:val="32"/>
          <w:u w:val="none"/>
          <w:lang w:eastAsia="zh-CN"/>
        </w:rPr>
        <w:t>15.81万元，</w:t>
      </w:r>
      <w:r>
        <w:rPr>
          <w:rFonts w:hint="eastAsia" w:ascii="仿宋" w:hAnsi="仿宋" w:eastAsia="仿宋" w:cs="仿宋"/>
          <w:sz w:val="32"/>
          <w:szCs w:val="32"/>
          <w:u w:val="none"/>
          <w:lang w:val="en-US" w:eastAsia="zh-CN"/>
        </w:rPr>
        <w:t>减少</w:t>
      </w:r>
      <w:r>
        <w:rPr>
          <w:rFonts w:hint="eastAsia" w:ascii="仿宋" w:hAnsi="仿宋" w:eastAsia="仿宋" w:cs="仿宋"/>
          <w:sz w:val="32"/>
          <w:szCs w:val="32"/>
          <w:u w:val="none"/>
          <w:lang w:eastAsia="zh-CN"/>
        </w:rPr>
        <w:t>2.90%。</w:t>
      </w:r>
      <w:r>
        <w:rPr>
          <w:rFonts w:hint="eastAsia" w:ascii="仿宋" w:hAnsi="仿宋" w:eastAsia="仿宋" w:cs="仿宋"/>
          <w:sz w:val="32"/>
          <w:szCs w:val="32"/>
          <w:u w:val="none"/>
          <w:lang w:val="en-US" w:eastAsia="zh-CN"/>
        </w:rPr>
        <w:t>变动原因：</w:t>
      </w:r>
      <w:r>
        <w:rPr>
          <w:rFonts w:hint="eastAsia" w:ascii="仿宋" w:hAnsi="仿宋" w:eastAsia="仿宋" w:cs="仿宋"/>
          <w:kern w:val="2"/>
          <w:sz w:val="32"/>
          <w:szCs w:val="32"/>
          <w:u w:val="none"/>
          <w:lang w:val="en-US" w:eastAsia="zh-CN" w:bidi="ar-SA"/>
        </w:rPr>
        <w:t>增加人员月保险基数小于减少人员月保险基数，使</w:t>
      </w:r>
      <w:r>
        <w:rPr>
          <w:rFonts w:hint="eastAsia" w:ascii="仿宋" w:hAnsi="仿宋" w:eastAsia="仿宋" w:cs="仿宋"/>
          <w:sz w:val="32"/>
          <w:szCs w:val="32"/>
          <w:u w:val="none"/>
          <w:lang w:eastAsia="zh-CN"/>
        </w:rPr>
        <w:t>机关事业单位基本养老保险缴费</w:t>
      </w:r>
      <w:r>
        <w:rPr>
          <w:rFonts w:hint="eastAsia" w:ascii="仿宋" w:hAnsi="仿宋" w:eastAsia="仿宋" w:cs="仿宋"/>
          <w:kern w:val="2"/>
          <w:sz w:val="32"/>
          <w:szCs w:val="32"/>
          <w:u w:val="none"/>
          <w:lang w:val="en-US" w:eastAsia="zh-CN" w:bidi="ar-SA"/>
        </w:rPr>
        <w:t>全年降低15.81万元</w:t>
      </w:r>
      <w:r>
        <w:rPr>
          <w:rFonts w:hint="eastAsia" w:ascii="仿宋" w:hAnsi="仿宋" w:eastAsia="仿宋" w:cs="仿宋"/>
          <w:sz w:val="32"/>
          <w:szCs w:val="32"/>
          <w:u w:val="none"/>
          <w:lang w:eastAsia="zh-CN"/>
        </w:rPr>
        <w:t>。</w:t>
      </w:r>
    </w:p>
    <w:p w14:paraId="5A239008">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楷体" w:hAnsi="楷体" w:eastAsia="楷体" w:cs="楷体"/>
          <w:b/>
          <w:bCs/>
          <w:sz w:val="32"/>
          <w:szCs w:val="32"/>
          <w:highlight w:val="none"/>
          <w:u w:val="none"/>
        </w:rPr>
      </w:pPr>
      <w:r>
        <w:rPr>
          <w:rFonts w:hint="eastAsia" w:ascii="仿宋" w:hAnsi="仿宋" w:eastAsia="仿宋" w:cs="仿宋"/>
          <w:sz w:val="32"/>
          <w:szCs w:val="32"/>
          <w:u w:val="none"/>
          <w:lang w:eastAsia="zh-CN"/>
        </w:rPr>
        <w:t>3.行政事业单位养老支出（款）机关事业单位职业年金缴费支出（</w:t>
      </w:r>
      <w:r>
        <w:rPr>
          <w:rFonts w:hint="eastAsia" w:ascii="仿宋" w:hAnsi="仿宋" w:eastAsia="仿宋" w:cs="仿宋"/>
          <w:sz w:val="32"/>
          <w:szCs w:val="32"/>
          <w:highlight w:val="none"/>
          <w:u w:val="none"/>
          <w:lang w:eastAsia="zh-CN"/>
        </w:rPr>
        <w:t>项）。年初预算264.69万元，与上年相比减少7.9</w:t>
      </w:r>
      <w:r>
        <w:rPr>
          <w:rFonts w:hint="eastAsia" w:ascii="仿宋" w:hAnsi="仿宋" w:eastAsia="仿宋" w:cs="仿宋"/>
          <w:sz w:val="32"/>
          <w:szCs w:val="32"/>
          <w:highlight w:val="none"/>
          <w:u w:val="none"/>
          <w:lang w:val="en-US" w:eastAsia="zh-CN"/>
        </w:rPr>
        <w:t>1</w:t>
      </w:r>
      <w:r>
        <w:rPr>
          <w:rFonts w:hint="eastAsia" w:ascii="仿宋" w:hAnsi="仿宋" w:eastAsia="仿宋" w:cs="仿宋"/>
          <w:sz w:val="32"/>
          <w:szCs w:val="32"/>
          <w:highlight w:val="none"/>
          <w:u w:val="none"/>
          <w:lang w:eastAsia="zh-CN"/>
        </w:rPr>
        <w:t>万元，减少2.90%。</w:t>
      </w:r>
      <w:r>
        <w:rPr>
          <w:rFonts w:hint="eastAsia" w:ascii="仿宋" w:hAnsi="仿宋" w:eastAsia="仿宋" w:cs="仿宋"/>
          <w:sz w:val="32"/>
          <w:szCs w:val="32"/>
          <w:u w:val="none"/>
          <w:lang w:val="en-US" w:eastAsia="zh-CN"/>
        </w:rPr>
        <w:t>变动原因：</w:t>
      </w:r>
      <w:r>
        <w:rPr>
          <w:rFonts w:hint="eastAsia" w:ascii="仿宋" w:hAnsi="仿宋" w:eastAsia="仿宋" w:cs="仿宋"/>
          <w:kern w:val="2"/>
          <w:sz w:val="32"/>
          <w:szCs w:val="32"/>
          <w:u w:val="none"/>
          <w:lang w:val="en-US" w:eastAsia="zh-CN" w:bidi="ar-SA"/>
        </w:rPr>
        <w:t>增加人员月保险基数小于减少人员月保险基数，使</w:t>
      </w:r>
      <w:r>
        <w:rPr>
          <w:rFonts w:hint="eastAsia" w:ascii="仿宋" w:hAnsi="仿宋" w:eastAsia="仿宋" w:cs="仿宋"/>
          <w:sz w:val="32"/>
          <w:szCs w:val="32"/>
          <w:u w:val="none"/>
          <w:lang w:eastAsia="zh-CN"/>
        </w:rPr>
        <w:t>机关事业单位基本养老保险缴费</w:t>
      </w:r>
      <w:r>
        <w:rPr>
          <w:rFonts w:hint="eastAsia" w:ascii="仿宋" w:hAnsi="仿宋" w:eastAsia="仿宋" w:cs="仿宋"/>
          <w:kern w:val="2"/>
          <w:sz w:val="32"/>
          <w:szCs w:val="32"/>
          <w:u w:val="none"/>
          <w:lang w:val="en-US" w:eastAsia="zh-CN" w:bidi="ar-SA"/>
        </w:rPr>
        <w:t>全年降低7.91万元</w:t>
      </w:r>
      <w:r>
        <w:rPr>
          <w:rFonts w:hint="eastAsia" w:ascii="仿宋" w:hAnsi="仿宋" w:eastAsia="仿宋" w:cs="仿宋"/>
          <w:sz w:val="32"/>
          <w:szCs w:val="32"/>
          <w:highlight w:val="none"/>
          <w:u w:val="none"/>
          <w:lang w:eastAsia="zh-CN"/>
        </w:rPr>
        <w:t>。</w:t>
      </w:r>
    </w:p>
    <w:p w14:paraId="3A1DD03A">
      <w:pPr>
        <w:pStyle w:val="10"/>
        <w:pageBreakBefore w:val="0"/>
        <w:tabs>
          <w:tab w:val="left" w:pos="4275"/>
        </w:tabs>
        <w:kinsoku/>
        <w:wordWrap/>
        <w:overflowPunct/>
        <w:topLinePunct w:val="0"/>
        <w:bidi w:val="0"/>
        <w:spacing w:after="0" w:line="600" w:lineRule="exact"/>
        <w:ind w:firstLine="643" w:firstLineChars="200"/>
        <w:rPr>
          <w:rFonts w:hint="eastAsia" w:ascii="楷体" w:hAnsi="楷体" w:eastAsia="楷体" w:cs="楷体"/>
          <w:b/>
          <w:bCs/>
          <w:sz w:val="32"/>
          <w:szCs w:val="32"/>
          <w:highlight w:val="none"/>
          <w:u w:val="none"/>
        </w:rPr>
      </w:pPr>
      <w:r>
        <w:rPr>
          <w:rFonts w:hint="eastAsia" w:ascii="楷体" w:hAnsi="楷体" w:eastAsia="楷体" w:cs="楷体"/>
          <w:b/>
          <w:bCs/>
          <w:sz w:val="32"/>
          <w:szCs w:val="32"/>
          <w:highlight w:val="none"/>
          <w:u w:val="none"/>
        </w:rPr>
        <w:t>（</w:t>
      </w:r>
      <w:r>
        <w:rPr>
          <w:rFonts w:hint="eastAsia" w:ascii="楷体" w:hAnsi="楷体" w:eastAsia="楷体" w:cs="楷体"/>
          <w:b/>
          <w:bCs/>
          <w:sz w:val="32"/>
          <w:szCs w:val="32"/>
          <w:highlight w:val="none"/>
          <w:u w:val="none"/>
          <w:lang w:val="en-US" w:eastAsia="zh-CN"/>
        </w:rPr>
        <w:t>二</w:t>
      </w:r>
      <w:r>
        <w:rPr>
          <w:rFonts w:hint="eastAsia" w:ascii="楷体" w:hAnsi="楷体" w:eastAsia="楷体" w:cs="楷体"/>
          <w:b/>
          <w:bCs/>
          <w:sz w:val="32"/>
          <w:szCs w:val="32"/>
          <w:highlight w:val="none"/>
          <w:u w:val="none"/>
        </w:rPr>
        <w:t>）卫生健康支出（类）</w:t>
      </w:r>
    </w:p>
    <w:p w14:paraId="76A6BB73">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楷体" w:hAnsi="楷体" w:eastAsia="楷体" w:cs="楷体"/>
          <w:b/>
          <w:bCs/>
          <w:sz w:val="32"/>
          <w:szCs w:val="32"/>
          <w:highlight w:val="none"/>
          <w:u w:val="none"/>
        </w:rPr>
      </w:pPr>
      <w:r>
        <w:rPr>
          <w:rFonts w:hint="eastAsia" w:ascii="仿宋" w:hAnsi="仿宋" w:eastAsia="仿宋" w:cs="仿宋"/>
          <w:sz w:val="32"/>
          <w:szCs w:val="32"/>
          <w:u w:val="none"/>
          <w:lang w:val="en-US" w:eastAsia="zh-CN"/>
        </w:rPr>
        <w:t>卫生健康</w:t>
      </w:r>
      <w:r>
        <w:rPr>
          <w:rFonts w:hint="eastAsia" w:ascii="仿宋" w:hAnsi="仿宋" w:eastAsia="仿宋" w:cs="仿宋"/>
          <w:sz w:val="32"/>
          <w:szCs w:val="32"/>
          <w:u w:val="none"/>
          <w:lang w:eastAsia="zh-CN"/>
        </w:rPr>
        <w:t>支出（类）年初预算数为</w:t>
      </w:r>
      <w:r>
        <w:rPr>
          <w:rFonts w:hint="eastAsia" w:ascii="仿宋" w:hAnsi="仿宋" w:eastAsia="仿宋" w:cs="仿宋"/>
          <w:sz w:val="32"/>
          <w:szCs w:val="32"/>
          <w:u w:val="none"/>
          <w:lang w:val="en-US" w:eastAsia="zh-CN"/>
        </w:rPr>
        <w:t>4652.58</w:t>
      </w:r>
      <w:r>
        <w:rPr>
          <w:rFonts w:hint="eastAsia" w:ascii="仿宋" w:hAnsi="仿宋" w:eastAsia="仿宋" w:cs="仿宋"/>
          <w:sz w:val="32"/>
          <w:szCs w:val="32"/>
          <w:u w:val="none"/>
          <w:lang w:eastAsia="zh-CN"/>
        </w:rPr>
        <w:t>万元，与上年相比减少</w:t>
      </w:r>
      <w:r>
        <w:rPr>
          <w:rFonts w:hint="eastAsia" w:ascii="仿宋" w:hAnsi="仿宋" w:eastAsia="仿宋" w:cs="仿宋"/>
          <w:sz w:val="32"/>
          <w:szCs w:val="32"/>
          <w:u w:val="none"/>
          <w:lang w:val="en-US" w:eastAsia="zh-CN"/>
        </w:rPr>
        <w:t>124.24</w:t>
      </w:r>
      <w:r>
        <w:rPr>
          <w:rFonts w:hint="eastAsia" w:ascii="仿宋" w:hAnsi="仿宋" w:eastAsia="仿宋" w:cs="仿宋"/>
          <w:sz w:val="32"/>
          <w:szCs w:val="32"/>
          <w:u w:val="none"/>
          <w:lang w:eastAsia="zh-CN"/>
        </w:rPr>
        <w:t>万元。其中：</w:t>
      </w:r>
    </w:p>
    <w:p w14:paraId="591C7A28">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highlight w:val="none"/>
          <w:u w:val="none"/>
          <w:lang w:eastAsia="zh-CN"/>
        </w:rPr>
      </w:pPr>
      <w:r>
        <w:rPr>
          <w:rFonts w:hint="eastAsia" w:ascii="仿宋" w:hAnsi="仿宋" w:eastAsia="仿宋" w:cs="仿宋"/>
          <w:sz w:val="32"/>
          <w:szCs w:val="32"/>
          <w:highlight w:val="none"/>
          <w:u w:val="none"/>
          <w:lang w:eastAsia="zh-CN"/>
        </w:rPr>
        <w:t>1．公立医院（款）综合医院（项）。年初预算4</w:t>
      </w:r>
      <w:r>
        <w:rPr>
          <w:rFonts w:hint="eastAsia" w:ascii="仿宋" w:hAnsi="仿宋" w:eastAsia="仿宋" w:cs="仿宋"/>
          <w:sz w:val="32"/>
          <w:szCs w:val="32"/>
          <w:highlight w:val="none"/>
          <w:u w:val="none"/>
          <w:lang w:val="en-US" w:eastAsia="zh-CN"/>
        </w:rPr>
        <w:t>,</w:t>
      </w:r>
      <w:r>
        <w:rPr>
          <w:rFonts w:hint="eastAsia" w:ascii="仿宋" w:hAnsi="仿宋" w:eastAsia="仿宋" w:cs="仿宋"/>
          <w:sz w:val="32"/>
          <w:szCs w:val="32"/>
          <w:highlight w:val="none"/>
          <w:u w:val="none"/>
          <w:lang w:eastAsia="zh-CN"/>
        </w:rPr>
        <w:t>436</w:t>
      </w:r>
      <w:r>
        <w:rPr>
          <w:rFonts w:hint="eastAsia" w:ascii="仿宋" w:hAnsi="仿宋" w:eastAsia="仿宋" w:cs="仿宋"/>
          <w:sz w:val="32"/>
          <w:szCs w:val="32"/>
          <w:highlight w:val="none"/>
          <w:u w:val="none"/>
          <w:lang w:val="en-US" w:eastAsia="zh-CN"/>
        </w:rPr>
        <w:t>.</w:t>
      </w:r>
      <w:r>
        <w:rPr>
          <w:rFonts w:hint="eastAsia" w:ascii="仿宋" w:hAnsi="仿宋" w:eastAsia="仿宋" w:cs="仿宋"/>
          <w:sz w:val="32"/>
          <w:szCs w:val="32"/>
          <w:highlight w:val="none"/>
          <w:u w:val="none"/>
          <w:lang w:eastAsia="zh-CN"/>
        </w:rPr>
        <w:t>7</w:t>
      </w:r>
      <w:r>
        <w:rPr>
          <w:rFonts w:hint="eastAsia" w:ascii="仿宋" w:hAnsi="仿宋" w:eastAsia="仿宋" w:cs="仿宋"/>
          <w:sz w:val="32"/>
          <w:szCs w:val="32"/>
          <w:highlight w:val="none"/>
          <w:u w:val="none"/>
          <w:lang w:val="en-US" w:eastAsia="zh-CN"/>
        </w:rPr>
        <w:t>9</w:t>
      </w:r>
      <w:r>
        <w:rPr>
          <w:rFonts w:hint="eastAsia" w:ascii="仿宋" w:hAnsi="仿宋" w:eastAsia="仿宋" w:cs="仿宋"/>
          <w:sz w:val="32"/>
          <w:szCs w:val="32"/>
          <w:highlight w:val="none"/>
          <w:u w:val="none"/>
          <w:lang w:eastAsia="zh-CN"/>
        </w:rPr>
        <w:t>万元，与上年相比</w:t>
      </w:r>
      <w:r>
        <w:rPr>
          <w:rFonts w:hint="eastAsia" w:ascii="仿宋" w:hAnsi="仿宋" w:eastAsia="仿宋" w:cs="仿宋"/>
          <w:sz w:val="32"/>
          <w:szCs w:val="32"/>
          <w:highlight w:val="none"/>
          <w:u w:val="none"/>
          <w:lang w:val="en-US" w:eastAsia="zh-CN"/>
        </w:rPr>
        <w:t>减少</w:t>
      </w:r>
      <w:r>
        <w:rPr>
          <w:rFonts w:hint="eastAsia" w:ascii="仿宋" w:hAnsi="仿宋" w:eastAsia="仿宋" w:cs="仿宋"/>
          <w:sz w:val="32"/>
          <w:szCs w:val="32"/>
          <w:highlight w:val="none"/>
          <w:u w:val="none"/>
          <w:lang w:eastAsia="zh-CN"/>
        </w:rPr>
        <w:t>72.4</w:t>
      </w:r>
      <w:r>
        <w:rPr>
          <w:rFonts w:hint="eastAsia" w:ascii="仿宋" w:hAnsi="仿宋" w:eastAsia="仿宋" w:cs="仿宋"/>
          <w:sz w:val="32"/>
          <w:szCs w:val="32"/>
          <w:highlight w:val="none"/>
          <w:u w:val="none"/>
          <w:lang w:val="en-US" w:eastAsia="zh-CN"/>
        </w:rPr>
        <w:t>6</w:t>
      </w:r>
      <w:r>
        <w:rPr>
          <w:rFonts w:hint="eastAsia" w:ascii="仿宋" w:hAnsi="仿宋" w:eastAsia="仿宋" w:cs="仿宋"/>
          <w:sz w:val="32"/>
          <w:szCs w:val="32"/>
          <w:highlight w:val="none"/>
          <w:u w:val="none"/>
          <w:lang w:eastAsia="zh-CN"/>
        </w:rPr>
        <w:t>万元，</w:t>
      </w:r>
      <w:r>
        <w:rPr>
          <w:rFonts w:hint="eastAsia" w:ascii="仿宋" w:hAnsi="仿宋" w:eastAsia="仿宋" w:cs="仿宋"/>
          <w:sz w:val="32"/>
          <w:szCs w:val="32"/>
          <w:highlight w:val="none"/>
          <w:u w:val="none"/>
          <w:lang w:val="en-US" w:eastAsia="zh-CN"/>
        </w:rPr>
        <w:t>减少</w:t>
      </w:r>
      <w:r>
        <w:rPr>
          <w:rFonts w:hint="eastAsia" w:ascii="仿宋" w:hAnsi="仿宋" w:eastAsia="仿宋" w:cs="仿宋"/>
          <w:sz w:val="32"/>
          <w:szCs w:val="32"/>
          <w:highlight w:val="none"/>
          <w:u w:val="none"/>
          <w:lang w:eastAsia="zh-CN"/>
        </w:rPr>
        <w:t>1.61%。变动原因：</w:t>
      </w:r>
      <w:r>
        <w:rPr>
          <w:rFonts w:hint="eastAsia" w:ascii="仿宋" w:hAnsi="仿宋" w:eastAsia="仿宋" w:cs="仿宋"/>
          <w:sz w:val="32"/>
          <w:szCs w:val="32"/>
          <w:u w:val="none"/>
          <w:lang w:val="en-US" w:eastAsia="zh-CN"/>
        </w:rPr>
        <w:t>取消在职人员艰苦边远地区补贴</w:t>
      </w:r>
      <w:r>
        <w:rPr>
          <w:rFonts w:hint="eastAsia" w:ascii="仿宋" w:hAnsi="仿宋" w:eastAsia="仿宋" w:cs="仿宋"/>
          <w:sz w:val="32"/>
          <w:szCs w:val="32"/>
          <w:u w:val="none"/>
          <w:lang w:eastAsia="zh-CN"/>
        </w:rPr>
        <w:t>。</w:t>
      </w:r>
    </w:p>
    <w:p w14:paraId="2F18D0F7">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highlight w:val="none"/>
          <w:u w:val="none"/>
          <w:lang w:eastAsia="zh-CN"/>
        </w:rPr>
      </w:pPr>
      <w:r>
        <w:rPr>
          <w:rFonts w:hint="eastAsia" w:ascii="仿宋" w:hAnsi="仿宋" w:eastAsia="仿宋" w:cs="仿宋"/>
          <w:sz w:val="32"/>
          <w:szCs w:val="32"/>
          <w:highlight w:val="none"/>
          <w:u w:val="none"/>
          <w:lang w:val="en-US" w:eastAsia="zh-CN"/>
        </w:rPr>
        <w:t>2</w:t>
      </w:r>
      <w:r>
        <w:rPr>
          <w:rFonts w:hint="eastAsia" w:ascii="仿宋" w:hAnsi="仿宋" w:eastAsia="仿宋" w:cs="仿宋"/>
          <w:sz w:val="32"/>
          <w:szCs w:val="32"/>
          <w:highlight w:val="none"/>
          <w:u w:val="none"/>
          <w:lang w:eastAsia="zh-CN"/>
        </w:rPr>
        <w:t>.行政事业单位医疗（款）事业单位医疗（项）。年初预算215</w:t>
      </w:r>
      <w:r>
        <w:rPr>
          <w:rFonts w:hint="eastAsia" w:ascii="仿宋" w:hAnsi="仿宋" w:eastAsia="仿宋" w:cs="仿宋"/>
          <w:sz w:val="32"/>
          <w:szCs w:val="32"/>
          <w:highlight w:val="none"/>
          <w:u w:val="none"/>
          <w:lang w:val="en-US" w:eastAsia="zh-CN"/>
        </w:rPr>
        <w:t>.</w:t>
      </w:r>
      <w:r>
        <w:rPr>
          <w:rFonts w:hint="eastAsia" w:ascii="仿宋" w:hAnsi="仿宋" w:eastAsia="仿宋" w:cs="仿宋"/>
          <w:sz w:val="32"/>
          <w:szCs w:val="32"/>
          <w:highlight w:val="none"/>
          <w:u w:val="none"/>
          <w:lang w:eastAsia="zh-CN"/>
        </w:rPr>
        <w:t>79万元，与上年相比</w:t>
      </w:r>
      <w:r>
        <w:rPr>
          <w:rFonts w:hint="eastAsia" w:ascii="仿宋" w:hAnsi="仿宋" w:eastAsia="仿宋" w:cs="仿宋"/>
          <w:sz w:val="32"/>
          <w:szCs w:val="32"/>
          <w:highlight w:val="none"/>
          <w:u w:val="none"/>
          <w:lang w:val="en-US" w:eastAsia="zh-CN"/>
        </w:rPr>
        <w:t>减少</w:t>
      </w:r>
      <w:r>
        <w:rPr>
          <w:rFonts w:hint="eastAsia" w:ascii="仿宋" w:hAnsi="仿宋" w:eastAsia="仿宋" w:cs="仿宋"/>
          <w:sz w:val="32"/>
          <w:szCs w:val="32"/>
          <w:highlight w:val="none"/>
          <w:u w:val="none"/>
          <w:lang w:eastAsia="zh-CN"/>
        </w:rPr>
        <w:t>6.4</w:t>
      </w:r>
      <w:r>
        <w:rPr>
          <w:rFonts w:hint="eastAsia" w:ascii="仿宋" w:hAnsi="仿宋" w:eastAsia="仿宋" w:cs="仿宋"/>
          <w:sz w:val="32"/>
          <w:szCs w:val="32"/>
          <w:highlight w:val="none"/>
          <w:u w:val="none"/>
          <w:lang w:val="en-US" w:eastAsia="zh-CN"/>
        </w:rPr>
        <w:t>2</w:t>
      </w:r>
      <w:r>
        <w:rPr>
          <w:rFonts w:hint="eastAsia" w:ascii="仿宋" w:hAnsi="仿宋" w:eastAsia="仿宋" w:cs="仿宋"/>
          <w:sz w:val="32"/>
          <w:szCs w:val="32"/>
          <w:highlight w:val="none"/>
          <w:u w:val="none"/>
          <w:lang w:eastAsia="zh-CN"/>
        </w:rPr>
        <w:t>万元，</w:t>
      </w:r>
      <w:r>
        <w:rPr>
          <w:rFonts w:hint="eastAsia" w:ascii="仿宋" w:hAnsi="仿宋" w:eastAsia="仿宋" w:cs="仿宋"/>
          <w:sz w:val="32"/>
          <w:szCs w:val="32"/>
          <w:highlight w:val="none"/>
          <w:u w:val="none"/>
          <w:lang w:val="en-US" w:eastAsia="zh-CN"/>
        </w:rPr>
        <w:t>减少</w:t>
      </w:r>
      <w:r>
        <w:rPr>
          <w:rFonts w:hint="eastAsia" w:ascii="仿宋" w:hAnsi="仿宋" w:eastAsia="仿宋" w:cs="仿宋"/>
          <w:sz w:val="32"/>
          <w:szCs w:val="32"/>
          <w:highlight w:val="none"/>
          <w:u w:val="none"/>
          <w:lang w:eastAsia="zh-CN"/>
        </w:rPr>
        <w:t>2.89%。</w:t>
      </w:r>
      <w:r>
        <w:rPr>
          <w:rFonts w:hint="eastAsia" w:ascii="仿宋" w:hAnsi="仿宋" w:eastAsia="仿宋" w:cs="仿宋"/>
          <w:sz w:val="32"/>
          <w:szCs w:val="32"/>
          <w:u w:val="none"/>
          <w:lang w:val="en-US" w:eastAsia="zh-CN"/>
        </w:rPr>
        <w:t>变动原因：</w:t>
      </w:r>
      <w:r>
        <w:rPr>
          <w:rFonts w:hint="eastAsia" w:ascii="仿宋" w:hAnsi="仿宋" w:eastAsia="仿宋" w:cs="仿宋"/>
          <w:kern w:val="2"/>
          <w:sz w:val="32"/>
          <w:szCs w:val="32"/>
          <w:u w:val="none"/>
          <w:lang w:val="en-US" w:eastAsia="zh-CN" w:bidi="ar-SA"/>
        </w:rPr>
        <w:t>增加人员月保险基数小于减少人员月保险基数，使</w:t>
      </w:r>
      <w:r>
        <w:rPr>
          <w:rFonts w:hint="eastAsia" w:ascii="仿宋" w:hAnsi="仿宋" w:eastAsia="仿宋" w:cs="仿宋"/>
          <w:sz w:val="32"/>
          <w:szCs w:val="32"/>
          <w:highlight w:val="none"/>
          <w:u w:val="none"/>
          <w:lang w:eastAsia="zh-CN"/>
        </w:rPr>
        <w:t>事业单位医疗</w:t>
      </w:r>
      <w:r>
        <w:rPr>
          <w:rFonts w:hint="eastAsia" w:ascii="仿宋" w:hAnsi="仿宋" w:eastAsia="仿宋" w:cs="仿宋"/>
          <w:sz w:val="32"/>
          <w:szCs w:val="32"/>
          <w:u w:val="none"/>
          <w:lang w:eastAsia="zh-CN"/>
        </w:rPr>
        <w:t>缴费</w:t>
      </w:r>
      <w:r>
        <w:rPr>
          <w:rFonts w:hint="eastAsia" w:ascii="仿宋" w:hAnsi="仿宋" w:eastAsia="仿宋" w:cs="仿宋"/>
          <w:kern w:val="2"/>
          <w:sz w:val="32"/>
          <w:szCs w:val="32"/>
          <w:u w:val="none"/>
          <w:lang w:val="en-US" w:eastAsia="zh-CN" w:bidi="ar-SA"/>
        </w:rPr>
        <w:t>全年降低6.42万元</w:t>
      </w:r>
      <w:r>
        <w:rPr>
          <w:rFonts w:hint="eastAsia" w:ascii="仿宋" w:hAnsi="仿宋" w:eastAsia="仿宋" w:cs="仿宋"/>
          <w:sz w:val="32"/>
          <w:szCs w:val="32"/>
          <w:highlight w:val="none"/>
          <w:u w:val="none"/>
          <w:lang w:eastAsia="zh-CN"/>
        </w:rPr>
        <w:t>。</w:t>
      </w:r>
    </w:p>
    <w:p w14:paraId="201A2DE7">
      <w:pPr>
        <w:pageBreakBefore w:val="0"/>
        <w:widowControl w:val="0"/>
        <w:numPr>
          <w:ilvl w:val="0"/>
          <w:numId w:val="0"/>
        </w:numPr>
        <w:kinsoku/>
        <w:wordWrap/>
        <w:overflowPunct/>
        <w:topLinePunct w:val="0"/>
        <w:bidi w:val="0"/>
        <w:spacing w:line="560" w:lineRule="exact"/>
        <w:ind w:leftChars="200"/>
        <w:textAlignment w:val="auto"/>
        <w:rPr>
          <w:rFonts w:hint="eastAsia" w:ascii="楷体" w:hAnsi="楷体" w:eastAsia="楷体" w:cs="楷体"/>
          <w:b/>
          <w:bCs/>
          <w:kern w:val="2"/>
          <w:sz w:val="32"/>
          <w:szCs w:val="32"/>
          <w:highlight w:val="none"/>
          <w:u w:val="none"/>
          <w:lang w:val="en-US" w:eastAsia="zh-CN" w:bidi="ar-SA"/>
        </w:rPr>
      </w:pPr>
      <w:r>
        <w:rPr>
          <w:rFonts w:hint="eastAsia" w:ascii="楷体" w:hAnsi="楷体" w:eastAsia="楷体" w:cs="楷体"/>
          <w:b/>
          <w:bCs/>
          <w:kern w:val="2"/>
          <w:sz w:val="32"/>
          <w:szCs w:val="32"/>
          <w:highlight w:val="none"/>
          <w:u w:val="none"/>
          <w:lang w:val="en-US" w:eastAsia="zh-CN" w:bidi="ar-SA"/>
        </w:rPr>
        <w:t>（三）住房保障支出（类）</w:t>
      </w:r>
    </w:p>
    <w:p w14:paraId="49575527">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lang w:val="en-US" w:eastAsia="zh-CN"/>
        </w:rPr>
      </w:pPr>
      <w:r>
        <w:rPr>
          <w:rFonts w:hint="eastAsia" w:ascii="仿宋" w:hAnsi="仿宋" w:eastAsia="仿宋" w:cs="仿宋"/>
          <w:sz w:val="32"/>
          <w:szCs w:val="32"/>
          <w:u w:val="none"/>
          <w:lang w:val="en-US" w:eastAsia="zh-CN"/>
        </w:rPr>
        <w:t>卫生健康</w:t>
      </w:r>
      <w:r>
        <w:rPr>
          <w:rFonts w:hint="eastAsia" w:ascii="仿宋" w:hAnsi="仿宋" w:eastAsia="仿宋" w:cs="仿宋"/>
          <w:sz w:val="32"/>
          <w:szCs w:val="32"/>
          <w:u w:val="none"/>
          <w:lang w:eastAsia="zh-CN"/>
        </w:rPr>
        <w:t>支出（类）年初预算数为</w:t>
      </w:r>
      <w:r>
        <w:rPr>
          <w:rFonts w:hint="eastAsia" w:ascii="仿宋" w:hAnsi="仿宋" w:eastAsia="仿宋" w:cs="仿宋"/>
          <w:sz w:val="32"/>
          <w:szCs w:val="32"/>
          <w:u w:val="none"/>
          <w:lang w:val="en-US" w:eastAsia="zh-CN"/>
        </w:rPr>
        <w:t>411.76</w:t>
      </w:r>
      <w:r>
        <w:rPr>
          <w:rFonts w:hint="eastAsia" w:ascii="仿宋" w:hAnsi="仿宋" w:eastAsia="仿宋" w:cs="仿宋"/>
          <w:sz w:val="32"/>
          <w:szCs w:val="32"/>
          <w:u w:val="none"/>
          <w:lang w:eastAsia="zh-CN"/>
        </w:rPr>
        <w:t>万元，与上年相比减少</w:t>
      </w:r>
      <w:r>
        <w:rPr>
          <w:rFonts w:hint="eastAsia" w:ascii="仿宋" w:hAnsi="仿宋" w:eastAsia="仿宋" w:cs="仿宋"/>
          <w:sz w:val="32"/>
          <w:szCs w:val="32"/>
          <w:highlight w:val="none"/>
          <w:u w:val="none"/>
          <w:lang w:eastAsia="zh-CN"/>
        </w:rPr>
        <w:t>11.69</w:t>
      </w:r>
      <w:r>
        <w:rPr>
          <w:rFonts w:hint="eastAsia" w:ascii="仿宋" w:hAnsi="仿宋" w:eastAsia="仿宋" w:cs="仿宋"/>
          <w:sz w:val="32"/>
          <w:szCs w:val="32"/>
          <w:u w:val="none"/>
          <w:lang w:eastAsia="zh-CN"/>
        </w:rPr>
        <w:t>万元。其中：</w:t>
      </w:r>
    </w:p>
    <w:p w14:paraId="6F8D81A1">
      <w:pPr>
        <w:pStyle w:val="10"/>
        <w:pageBreakBefore w:val="0"/>
        <w:kinsoku/>
        <w:wordWrap/>
        <w:overflowPunct/>
        <w:topLinePunct w:val="0"/>
        <w:bidi w:val="0"/>
        <w:spacing w:after="0" w:line="600" w:lineRule="exact"/>
        <w:ind w:firstLine="640" w:firstLineChars="200"/>
        <w:rPr>
          <w:rFonts w:ascii="仿宋" w:hAnsi="仿宋" w:eastAsia="仿宋" w:cs="仿宋"/>
          <w:sz w:val="32"/>
          <w:szCs w:val="32"/>
          <w:highlight w:val="none"/>
          <w:u w:val="none"/>
        </w:rPr>
      </w:pPr>
      <w:r>
        <w:rPr>
          <w:rFonts w:hint="eastAsia" w:ascii="仿宋" w:hAnsi="仿宋" w:eastAsia="仿宋" w:cs="仿宋"/>
          <w:sz w:val="32"/>
          <w:szCs w:val="32"/>
          <w:highlight w:val="none"/>
          <w:u w:val="none"/>
          <w:lang w:eastAsia="zh-CN"/>
        </w:rPr>
        <w:t>1．住房改革支出（款）住房公积金（项）。年初预算411</w:t>
      </w:r>
      <w:r>
        <w:rPr>
          <w:rFonts w:hint="eastAsia" w:ascii="仿宋" w:hAnsi="仿宋" w:eastAsia="仿宋" w:cs="仿宋"/>
          <w:sz w:val="32"/>
          <w:szCs w:val="32"/>
          <w:highlight w:val="none"/>
          <w:u w:val="none"/>
          <w:lang w:val="en-US" w:eastAsia="zh-CN"/>
        </w:rPr>
        <w:t>.</w:t>
      </w:r>
      <w:r>
        <w:rPr>
          <w:rFonts w:hint="eastAsia" w:ascii="仿宋" w:hAnsi="仿宋" w:eastAsia="仿宋" w:cs="仿宋"/>
          <w:sz w:val="32"/>
          <w:szCs w:val="32"/>
          <w:highlight w:val="none"/>
          <w:u w:val="none"/>
          <w:lang w:eastAsia="zh-CN"/>
        </w:rPr>
        <w:t>7</w:t>
      </w:r>
      <w:r>
        <w:rPr>
          <w:rFonts w:hint="eastAsia" w:ascii="仿宋" w:hAnsi="仿宋" w:eastAsia="仿宋" w:cs="仿宋"/>
          <w:sz w:val="32"/>
          <w:szCs w:val="32"/>
          <w:highlight w:val="none"/>
          <w:u w:val="none"/>
          <w:lang w:val="en-US" w:eastAsia="zh-CN"/>
        </w:rPr>
        <w:t>6</w:t>
      </w:r>
      <w:r>
        <w:rPr>
          <w:rFonts w:hint="eastAsia" w:ascii="仿宋" w:hAnsi="仿宋" w:eastAsia="仿宋" w:cs="仿宋"/>
          <w:sz w:val="32"/>
          <w:szCs w:val="32"/>
          <w:highlight w:val="none"/>
          <w:u w:val="none"/>
          <w:lang w:eastAsia="zh-CN"/>
        </w:rPr>
        <w:t>万元，与上年相比</w:t>
      </w:r>
      <w:r>
        <w:rPr>
          <w:rFonts w:hint="eastAsia" w:ascii="仿宋" w:hAnsi="仿宋" w:eastAsia="仿宋" w:cs="仿宋"/>
          <w:sz w:val="32"/>
          <w:szCs w:val="32"/>
          <w:highlight w:val="none"/>
          <w:u w:val="none"/>
          <w:lang w:val="en-US" w:eastAsia="zh-CN"/>
        </w:rPr>
        <w:t>减少</w:t>
      </w:r>
      <w:r>
        <w:rPr>
          <w:rFonts w:hint="eastAsia" w:ascii="仿宋" w:hAnsi="仿宋" w:eastAsia="仿宋" w:cs="仿宋"/>
          <w:sz w:val="32"/>
          <w:szCs w:val="32"/>
          <w:highlight w:val="none"/>
          <w:u w:val="none"/>
          <w:lang w:eastAsia="zh-CN"/>
        </w:rPr>
        <w:t>11.69万元，</w:t>
      </w:r>
      <w:r>
        <w:rPr>
          <w:rFonts w:hint="eastAsia" w:ascii="仿宋" w:hAnsi="仿宋" w:eastAsia="仿宋" w:cs="仿宋"/>
          <w:sz w:val="32"/>
          <w:szCs w:val="32"/>
          <w:highlight w:val="none"/>
          <w:u w:val="none"/>
          <w:lang w:val="en-US" w:eastAsia="zh-CN"/>
        </w:rPr>
        <w:t>减少</w:t>
      </w:r>
      <w:r>
        <w:rPr>
          <w:rFonts w:hint="eastAsia" w:ascii="仿宋" w:hAnsi="仿宋" w:eastAsia="仿宋" w:cs="仿宋"/>
          <w:sz w:val="32"/>
          <w:szCs w:val="32"/>
          <w:highlight w:val="none"/>
          <w:u w:val="none"/>
          <w:lang w:eastAsia="zh-CN"/>
        </w:rPr>
        <w:t>2.76%。</w:t>
      </w:r>
      <w:r>
        <w:rPr>
          <w:rFonts w:hint="eastAsia" w:ascii="仿宋" w:hAnsi="仿宋" w:eastAsia="仿宋" w:cs="仿宋"/>
          <w:sz w:val="32"/>
          <w:szCs w:val="32"/>
          <w:u w:val="none"/>
          <w:lang w:val="en-US" w:eastAsia="zh-CN"/>
        </w:rPr>
        <w:t>变动原因：</w:t>
      </w:r>
      <w:r>
        <w:rPr>
          <w:rFonts w:hint="eastAsia" w:ascii="仿宋" w:hAnsi="仿宋" w:eastAsia="仿宋" w:cs="仿宋"/>
          <w:kern w:val="2"/>
          <w:sz w:val="32"/>
          <w:szCs w:val="32"/>
          <w:u w:val="none"/>
          <w:lang w:val="en-US" w:eastAsia="zh-CN" w:bidi="ar-SA"/>
        </w:rPr>
        <w:t>增加人员月</w:t>
      </w:r>
      <w:r>
        <w:rPr>
          <w:rFonts w:hint="eastAsia" w:ascii="仿宋" w:hAnsi="仿宋" w:eastAsia="仿宋" w:cs="仿宋"/>
          <w:sz w:val="32"/>
          <w:szCs w:val="32"/>
          <w:highlight w:val="none"/>
          <w:u w:val="none"/>
          <w:lang w:eastAsia="zh-CN"/>
        </w:rPr>
        <w:t>公积金</w:t>
      </w:r>
      <w:r>
        <w:rPr>
          <w:rFonts w:hint="eastAsia" w:ascii="仿宋" w:hAnsi="仿宋" w:eastAsia="仿宋" w:cs="仿宋"/>
          <w:sz w:val="32"/>
          <w:szCs w:val="32"/>
          <w:highlight w:val="none"/>
          <w:u w:val="none"/>
          <w:lang w:val="en-US" w:eastAsia="zh-CN"/>
        </w:rPr>
        <w:t>缴费</w:t>
      </w:r>
      <w:r>
        <w:rPr>
          <w:rFonts w:hint="eastAsia" w:ascii="仿宋" w:hAnsi="仿宋" w:eastAsia="仿宋" w:cs="仿宋"/>
          <w:kern w:val="2"/>
          <w:sz w:val="32"/>
          <w:szCs w:val="32"/>
          <w:u w:val="none"/>
          <w:lang w:val="en-US" w:eastAsia="zh-CN" w:bidi="ar-SA"/>
        </w:rPr>
        <w:t>基数小于减少人员月</w:t>
      </w:r>
      <w:r>
        <w:rPr>
          <w:rFonts w:hint="eastAsia" w:ascii="仿宋" w:hAnsi="仿宋" w:eastAsia="仿宋" w:cs="仿宋"/>
          <w:sz w:val="32"/>
          <w:szCs w:val="32"/>
          <w:highlight w:val="none"/>
          <w:u w:val="none"/>
          <w:lang w:eastAsia="zh-CN"/>
        </w:rPr>
        <w:t>公积金</w:t>
      </w:r>
      <w:r>
        <w:rPr>
          <w:rFonts w:hint="eastAsia" w:ascii="仿宋" w:hAnsi="仿宋" w:eastAsia="仿宋" w:cs="仿宋"/>
          <w:sz w:val="32"/>
          <w:szCs w:val="32"/>
          <w:highlight w:val="none"/>
          <w:u w:val="none"/>
          <w:lang w:val="en-US" w:eastAsia="zh-CN"/>
        </w:rPr>
        <w:t>缴费</w:t>
      </w:r>
      <w:r>
        <w:rPr>
          <w:rFonts w:hint="eastAsia" w:ascii="仿宋" w:hAnsi="仿宋" w:eastAsia="仿宋" w:cs="仿宋"/>
          <w:kern w:val="2"/>
          <w:sz w:val="32"/>
          <w:szCs w:val="32"/>
          <w:u w:val="none"/>
          <w:lang w:val="en-US" w:eastAsia="zh-CN" w:bidi="ar-SA"/>
        </w:rPr>
        <w:t>基数，使</w:t>
      </w:r>
      <w:r>
        <w:rPr>
          <w:rFonts w:hint="eastAsia" w:ascii="仿宋" w:hAnsi="仿宋" w:eastAsia="仿宋" w:cs="仿宋"/>
          <w:sz w:val="32"/>
          <w:szCs w:val="32"/>
          <w:highlight w:val="none"/>
          <w:u w:val="none"/>
          <w:lang w:eastAsia="zh-CN"/>
        </w:rPr>
        <w:t>住房公积金</w:t>
      </w:r>
      <w:r>
        <w:rPr>
          <w:rFonts w:hint="eastAsia" w:ascii="仿宋" w:hAnsi="仿宋" w:eastAsia="仿宋" w:cs="仿宋"/>
          <w:sz w:val="32"/>
          <w:szCs w:val="32"/>
          <w:highlight w:val="none"/>
          <w:u w:val="none"/>
          <w:lang w:val="en-US" w:eastAsia="zh-CN"/>
        </w:rPr>
        <w:t>支出</w:t>
      </w:r>
      <w:r>
        <w:rPr>
          <w:rFonts w:hint="eastAsia" w:ascii="仿宋" w:hAnsi="仿宋" w:eastAsia="仿宋" w:cs="仿宋"/>
          <w:kern w:val="2"/>
          <w:sz w:val="32"/>
          <w:szCs w:val="32"/>
          <w:u w:val="none"/>
          <w:lang w:val="en-US" w:eastAsia="zh-CN" w:bidi="ar-SA"/>
        </w:rPr>
        <w:t>全年降低</w:t>
      </w:r>
      <w:r>
        <w:rPr>
          <w:rFonts w:hint="eastAsia" w:ascii="仿宋" w:hAnsi="仿宋" w:eastAsia="仿宋" w:cs="仿宋"/>
          <w:sz w:val="32"/>
          <w:szCs w:val="32"/>
          <w:highlight w:val="none"/>
          <w:u w:val="none"/>
          <w:lang w:eastAsia="zh-CN"/>
        </w:rPr>
        <w:t>11.69</w:t>
      </w:r>
      <w:r>
        <w:rPr>
          <w:rFonts w:hint="eastAsia" w:ascii="仿宋" w:hAnsi="仿宋" w:eastAsia="仿宋" w:cs="仿宋"/>
          <w:kern w:val="2"/>
          <w:sz w:val="32"/>
          <w:szCs w:val="32"/>
          <w:u w:val="none"/>
          <w:lang w:val="en-US" w:eastAsia="zh-CN" w:bidi="ar-SA"/>
        </w:rPr>
        <w:t>万元</w:t>
      </w:r>
      <w:r>
        <w:rPr>
          <w:rFonts w:hint="eastAsia" w:ascii="仿宋" w:hAnsi="仿宋" w:eastAsia="仿宋" w:cs="仿宋"/>
          <w:sz w:val="32"/>
          <w:szCs w:val="32"/>
          <w:highlight w:val="none"/>
          <w:u w:val="none"/>
          <w:lang w:eastAsia="zh-CN"/>
        </w:rPr>
        <w:t>。</w:t>
      </w:r>
    </w:p>
    <w:p w14:paraId="4C4538FC">
      <w:pPr>
        <w:pageBreakBefore w:val="0"/>
        <w:kinsoku/>
        <w:wordWrap/>
        <w:overflowPunct/>
        <w:topLinePunct w:val="0"/>
        <w:bidi w:val="0"/>
        <w:spacing w:line="600" w:lineRule="exact"/>
        <w:ind w:firstLine="640" w:firstLineChars="200"/>
        <w:outlineLvl w:val="0"/>
        <w:rPr>
          <w:rFonts w:ascii="仿宋" w:hAnsi="仿宋" w:eastAsia="仿宋" w:cs="仿宋"/>
          <w:sz w:val="32"/>
          <w:szCs w:val="32"/>
          <w:highlight w:val="yellow"/>
          <w:u w:val="none"/>
        </w:rPr>
      </w:pPr>
      <w:r>
        <w:rPr>
          <w:rFonts w:hint="eastAsia" w:eastAsia="黑体" w:cs="黑体"/>
          <w:b w:val="0"/>
          <w:bCs w:val="0"/>
          <w:sz w:val="32"/>
          <w:szCs w:val="36"/>
          <w:u w:val="none"/>
        </w:rPr>
        <w:t>六、一般公共预算基本支出预算情况说明</w:t>
      </w:r>
    </w:p>
    <w:p w14:paraId="355CE0E9">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lang w:eastAsia="zh-CN"/>
        </w:rPr>
        <w:t>包头市第八医院2025年度</w:t>
      </w:r>
      <w:r>
        <w:rPr>
          <w:rFonts w:hint="eastAsia" w:ascii="仿宋" w:hAnsi="仿宋" w:eastAsia="仿宋" w:cs="仿宋"/>
          <w:sz w:val="32"/>
          <w:szCs w:val="32"/>
          <w:u w:val="none"/>
        </w:rPr>
        <w:t>一般公共预算财政拨款基本支出预算6</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258.4</w:t>
      </w:r>
      <w:r>
        <w:rPr>
          <w:rFonts w:hint="eastAsia" w:ascii="仿宋" w:hAnsi="仿宋" w:eastAsia="仿宋" w:cs="仿宋"/>
          <w:sz w:val="32"/>
          <w:szCs w:val="32"/>
          <w:u w:val="none"/>
          <w:lang w:val="en-US" w:eastAsia="zh-CN"/>
        </w:rPr>
        <w:t>6</w:t>
      </w:r>
      <w:r>
        <w:rPr>
          <w:rFonts w:hint="eastAsia" w:ascii="仿宋" w:hAnsi="仿宋" w:eastAsia="仿宋" w:cs="仿宋"/>
          <w:sz w:val="32"/>
          <w:szCs w:val="32"/>
          <w:u w:val="none"/>
        </w:rPr>
        <w:t>万元，其中：</w:t>
      </w:r>
    </w:p>
    <w:p w14:paraId="5400BD11">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b w:val="0"/>
          <w:bCs w:val="0"/>
          <w:sz w:val="32"/>
          <w:szCs w:val="32"/>
          <w:u w:val="none"/>
        </w:rPr>
      </w:pPr>
      <w:r>
        <w:rPr>
          <w:rFonts w:hint="eastAsia" w:ascii="仿宋" w:hAnsi="仿宋" w:eastAsia="仿宋" w:cs="仿宋"/>
          <w:b w:val="0"/>
          <w:bCs w:val="0"/>
          <w:sz w:val="32"/>
          <w:szCs w:val="32"/>
          <w:u w:val="none"/>
        </w:rPr>
        <w:t>（一）人员经费</w:t>
      </w:r>
      <w:r>
        <w:rPr>
          <w:rFonts w:hint="eastAsia" w:ascii="仿宋" w:hAnsi="仿宋" w:eastAsia="仿宋" w:cs="仿宋"/>
          <w:sz w:val="32"/>
          <w:szCs w:val="32"/>
          <w:u w:val="none"/>
        </w:rPr>
        <w:t>6</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025.74</w:t>
      </w:r>
      <w:r>
        <w:rPr>
          <w:rFonts w:hint="eastAsia" w:ascii="仿宋" w:hAnsi="仿宋" w:eastAsia="仿宋" w:cs="仿宋"/>
          <w:b w:val="0"/>
          <w:bCs w:val="0"/>
          <w:sz w:val="32"/>
          <w:szCs w:val="32"/>
          <w:u w:val="none"/>
        </w:rPr>
        <w:t>万元。主要包括：基本工资1</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671</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83</w:t>
      </w:r>
      <w:r>
        <w:rPr>
          <w:rFonts w:hint="eastAsia" w:ascii="仿宋" w:hAnsi="仿宋" w:eastAsia="仿宋" w:cs="仿宋"/>
          <w:b w:val="0"/>
          <w:bCs w:val="0"/>
          <w:sz w:val="32"/>
          <w:szCs w:val="32"/>
          <w:u w:val="none"/>
          <w:lang w:val="en-US" w:eastAsia="zh-CN"/>
        </w:rPr>
        <w:t>万元</w:t>
      </w:r>
      <w:r>
        <w:rPr>
          <w:rFonts w:hint="eastAsia" w:ascii="仿宋" w:hAnsi="仿宋" w:eastAsia="仿宋" w:cs="仿宋"/>
          <w:b w:val="0"/>
          <w:bCs w:val="0"/>
          <w:sz w:val="32"/>
          <w:szCs w:val="32"/>
          <w:u w:val="none"/>
        </w:rPr>
        <w:t>、津贴补贴348</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89</w:t>
      </w:r>
      <w:r>
        <w:rPr>
          <w:rFonts w:hint="eastAsia" w:ascii="仿宋" w:hAnsi="仿宋" w:eastAsia="仿宋" w:cs="仿宋"/>
          <w:b w:val="0"/>
          <w:bCs w:val="0"/>
          <w:sz w:val="32"/>
          <w:szCs w:val="32"/>
          <w:u w:val="none"/>
          <w:lang w:val="en-US" w:eastAsia="zh-CN"/>
        </w:rPr>
        <w:t>万元</w:t>
      </w:r>
      <w:r>
        <w:rPr>
          <w:rFonts w:hint="eastAsia" w:ascii="仿宋" w:hAnsi="仿宋" w:eastAsia="仿宋" w:cs="仿宋"/>
          <w:b w:val="0"/>
          <w:bCs w:val="0"/>
          <w:sz w:val="32"/>
          <w:szCs w:val="32"/>
          <w:u w:val="none"/>
        </w:rPr>
        <w:t>、奖金778</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34</w:t>
      </w:r>
      <w:r>
        <w:rPr>
          <w:rFonts w:hint="eastAsia" w:ascii="仿宋" w:hAnsi="仿宋" w:eastAsia="仿宋" w:cs="仿宋"/>
          <w:b w:val="0"/>
          <w:bCs w:val="0"/>
          <w:sz w:val="32"/>
          <w:szCs w:val="32"/>
          <w:u w:val="none"/>
          <w:lang w:val="en-US" w:eastAsia="zh-CN"/>
        </w:rPr>
        <w:t>万元</w:t>
      </w:r>
      <w:r>
        <w:rPr>
          <w:rFonts w:hint="eastAsia" w:ascii="仿宋" w:hAnsi="仿宋" w:eastAsia="仿宋" w:cs="仿宋"/>
          <w:b w:val="0"/>
          <w:bCs w:val="0"/>
          <w:sz w:val="32"/>
          <w:szCs w:val="32"/>
          <w:u w:val="none"/>
        </w:rPr>
        <w:t>、绩效工资1</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379</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88</w:t>
      </w:r>
      <w:r>
        <w:rPr>
          <w:rFonts w:hint="eastAsia" w:ascii="仿宋" w:hAnsi="仿宋" w:eastAsia="仿宋" w:cs="仿宋"/>
          <w:b w:val="0"/>
          <w:bCs w:val="0"/>
          <w:sz w:val="32"/>
          <w:szCs w:val="32"/>
          <w:u w:val="none"/>
          <w:lang w:val="en-US" w:eastAsia="zh-CN"/>
        </w:rPr>
        <w:t>万元</w:t>
      </w:r>
      <w:r>
        <w:rPr>
          <w:rFonts w:hint="eastAsia" w:ascii="仿宋" w:hAnsi="仿宋" w:eastAsia="仿宋" w:cs="仿宋"/>
          <w:b w:val="0"/>
          <w:bCs w:val="0"/>
          <w:sz w:val="32"/>
          <w:szCs w:val="32"/>
          <w:u w:val="none"/>
        </w:rPr>
        <w:t>、住房公积金411</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7</w:t>
      </w:r>
      <w:r>
        <w:rPr>
          <w:rFonts w:hint="eastAsia" w:ascii="仿宋" w:hAnsi="仿宋" w:eastAsia="仿宋" w:cs="仿宋"/>
          <w:b w:val="0"/>
          <w:bCs w:val="0"/>
          <w:sz w:val="32"/>
          <w:szCs w:val="32"/>
          <w:u w:val="none"/>
          <w:lang w:val="en-US" w:eastAsia="zh-CN"/>
        </w:rPr>
        <w:t>6万元</w:t>
      </w:r>
      <w:r>
        <w:rPr>
          <w:rFonts w:hint="eastAsia" w:ascii="仿宋" w:hAnsi="仿宋" w:eastAsia="仿宋" w:cs="仿宋"/>
          <w:b w:val="0"/>
          <w:bCs w:val="0"/>
          <w:sz w:val="32"/>
          <w:szCs w:val="32"/>
          <w:u w:val="none"/>
        </w:rPr>
        <w:t>、机关事业单位基本养老保险缴费529</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3</w:t>
      </w:r>
      <w:r>
        <w:rPr>
          <w:rFonts w:hint="eastAsia" w:ascii="仿宋" w:hAnsi="仿宋" w:eastAsia="仿宋" w:cs="仿宋"/>
          <w:b w:val="0"/>
          <w:bCs w:val="0"/>
          <w:sz w:val="32"/>
          <w:szCs w:val="32"/>
          <w:u w:val="none"/>
          <w:lang w:val="en-US" w:eastAsia="zh-CN"/>
        </w:rPr>
        <w:t>9万元</w:t>
      </w:r>
      <w:r>
        <w:rPr>
          <w:rFonts w:hint="eastAsia" w:ascii="仿宋" w:hAnsi="仿宋" w:eastAsia="仿宋" w:cs="仿宋"/>
          <w:b w:val="0"/>
          <w:bCs w:val="0"/>
          <w:sz w:val="32"/>
          <w:szCs w:val="32"/>
          <w:u w:val="none"/>
        </w:rPr>
        <w:t>、职业年金缴费264</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69</w:t>
      </w:r>
      <w:r>
        <w:rPr>
          <w:rFonts w:hint="eastAsia" w:ascii="仿宋" w:hAnsi="仿宋" w:eastAsia="仿宋" w:cs="仿宋"/>
          <w:b w:val="0"/>
          <w:bCs w:val="0"/>
          <w:sz w:val="32"/>
          <w:szCs w:val="32"/>
          <w:u w:val="none"/>
          <w:lang w:val="en-US" w:eastAsia="zh-CN"/>
        </w:rPr>
        <w:t>万元</w:t>
      </w:r>
      <w:r>
        <w:rPr>
          <w:rFonts w:hint="eastAsia" w:ascii="仿宋" w:hAnsi="仿宋" w:eastAsia="仿宋" w:cs="仿宋"/>
          <w:b w:val="0"/>
          <w:bCs w:val="0"/>
          <w:sz w:val="32"/>
          <w:szCs w:val="32"/>
          <w:u w:val="none"/>
        </w:rPr>
        <w:t>、职工基本医疗保险缴费215</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79</w:t>
      </w:r>
      <w:r>
        <w:rPr>
          <w:rFonts w:hint="eastAsia" w:ascii="仿宋" w:hAnsi="仿宋" w:eastAsia="仿宋" w:cs="仿宋"/>
          <w:b w:val="0"/>
          <w:bCs w:val="0"/>
          <w:sz w:val="32"/>
          <w:szCs w:val="32"/>
          <w:u w:val="none"/>
          <w:lang w:val="en-US" w:eastAsia="zh-CN"/>
        </w:rPr>
        <w:t>万元</w:t>
      </w:r>
      <w:r>
        <w:rPr>
          <w:rFonts w:hint="eastAsia" w:ascii="仿宋" w:hAnsi="仿宋" w:eastAsia="仿宋" w:cs="仿宋"/>
          <w:b w:val="0"/>
          <w:bCs w:val="0"/>
          <w:sz w:val="32"/>
          <w:szCs w:val="32"/>
          <w:u w:val="none"/>
        </w:rPr>
        <w:t>、其他社会保障缴费23</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16</w:t>
      </w:r>
      <w:r>
        <w:rPr>
          <w:rFonts w:hint="eastAsia" w:ascii="仿宋" w:hAnsi="仿宋" w:eastAsia="仿宋" w:cs="仿宋"/>
          <w:b w:val="0"/>
          <w:bCs w:val="0"/>
          <w:sz w:val="32"/>
          <w:szCs w:val="32"/>
          <w:u w:val="none"/>
          <w:lang w:val="en-US" w:eastAsia="zh-CN"/>
        </w:rPr>
        <w:t>万元</w:t>
      </w:r>
      <w:r>
        <w:rPr>
          <w:rFonts w:hint="eastAsia" w:ascii="仿宋" w:hAnsi="仿宋" w:eastAsia="仿宋" w:cs="仿宋"/>
          <w:b w:val="0"/>
          <w:bCs w:val="0"/>
          <w:sz w:val="32"/>
          <w:szCs w:val="32"/>
          <w:u w:val="none"/>
        </w:rPr>
        <w:t>、离休费39</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35</w:t>
      </w:r>
      <w:r>
        <w:rPr>
          <w:rFonts w:hint="eastAsia" w:ascii="仿宋" w:hAnsi="仿宋" w:eastAsia="仿宋" w:cs="仿宋"/>
          <w:b w:val="0"/>
          <w:bCs w:val="0"/>
          <w:sz w:val="32"/>
          <w:szCs w:val="32"/>
          <w:u w:val="none"/>
          <w:lang w:val="en-US" w:eastAsia="zh-CN"/>
        </w:rPr>
        <w:t>万元</w:t>
      </w:r>
      <w:r>
        <w:rPr>
          <w:rFonts w:hint="eastAsia" w:ascii="仿宋" w:hAnsi="仿宋" w:eastAsia="仿宋" w:cs="仿宋"/>
          <w:b w:val="0"/>
          <w:bCs w:val="0"/>
          <w:sz w:val="32"/>
          <w:szCs w:val="32"/>
          <w:u w:val="none"/>
        </w:rPr>
        <w:t>、退休费360</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6</w:t>
      </w:r>
      <w:r>
        <w:rPr>
          <w:rFonts w:hint="eastAsia" w:ascii="仿宋" w:hAnsi="仿宋" w:eastAsia="仿宋" w:cs="仿宋"/>
          <w:b w:val="0"/>
          <w:bCs w:val="0"/>
          <w:sz w:val="32"/>
          <w:szCs w:val="32"/>
          <w:u w:val="none"/>
          <w:lang w:val="en-US" w:eastAsia="zh-CN"/>
        </w:rPr>
        <w:t>9万元</w:t>
      </w:r>
      <w:r>
        <w:rPr>
          <w:rFonts w:hint="eastAsia" w:ascii="仿宋" w:hAnsi="仿宋" w:eastAsia="仿宋" w:cs="仿宋"/>
          <w:b w:val="0"/>
          <w:bCs w:val="0"/>
          <w:sz w:val="32"/>
          <w:szCs w:val="32"/>
          <w:u w:val="none"/>
        </w:rPr>
        <w:t>、生活补助1</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96</w:t>
      </w:r>
      <w:r>
        <w:rPr>
          <w:rFonts w:hint="eastAsia" w:ascii="仿宋" w:hAnsi="仿宋" w:eastAsia="仿宋" w:cs="仿宋"/>
          <w:b w:val="0"/>
          <w:bCs w:val="0"/>
          <w:sz w:val="32"/>
          <w:szCs w:val="32"/>
          <w:u w:val="none"/>
          <w:lang w:val="en-US" w:eastAsia="zh-CN"/>
        </w:rPr>
        <w:t>万元</w:t>
      </w:r>
      <w:r>
        <w:rPr>
          <w:rFonts w:hint="eastAsia" w:ascii="仿宋" w:hAnsi="仿宋" w:eastAsia="仿宋" w:cs="仿宋"/>
          <w:b w:val="0"/>
          <w:bCs w:val="0"/>
          <w:sz w:val="32"/>
          <w:szCs w:val="32"/>
          <w:u w:val="none"/>
        </w:rPr>
        <w:t>。</w:t>
      </w:r>
    </w:p>
    <w:p w14:paraId="5588C943">
      <w:pPr>
        <w:pStyle w:val="10"/>
        <w:pageBreakBefore w:val="0"/>
        <w:tabs>
          <w:tab w:val="left" w:pos="2671"/>
          <w:tab w:val="left" w:pos="5000"/>
          <w:tab w:val="left" w:pos="6190"/>
        </w:tabs>
        <w:kinsoku/>
        <w:wordWrap/>
        <w:overflowPunct/>
        <w:topLinePunct w:val="0"/>
        <w:bidi w:val="0"/>
        <w:spacing w:after="0" w:line="600" w:lineRule="exact"/>
        <w:ind w:firstLine="640" w:firstLineChars="200"/>
        <w:rPr>
          <w:rFonts w:hint="eastAsia" w:ascii="仿宋" w:hAnsi="仿宋" w:eastAsia="仿宋" w:cs="仿宋"/>
          <w:b w:val="0"/>
          <w:bCs w:val="0"/>
          <w:sz w:val="32"/>
          <w:szCs w:val="32"/>
          <w:u w:val="none"/>
        </w:rPr>
      </w:pPr>
      <w:r>
        <w:rPr>
          <w:rFonts w:hint="eastAsia" w:ascii="仿宋" w:hAnsi="仿宋" w:eastAsia="仿宋" w:cs="仿宋"/>
          <w:b w:val="0"/>
          <w:bCs w:val="0"/>
          <w:sz w:val="32"/>
          <w:szCs w:val="32"/>
          <w:u w:val="none"/>
        </w:rPr>
        <w:t>（二）公用经费232.71万元。主要</w:t>
      </w:r>
      <w:r>
        <w:rPr>
          <w:rFonts w:hint="eastAsia" w:ascii="仿宋" w:hAnsi="仿宋" w:eastAsia="仿宋" w:cs="仿宋"/>
          <w:b w:val="0"/>
          <w:bCs w:val="0"/>
          <w:sz w:val="32"/>
          <w:szCs w:val="32"/>
          <w:u w:val="none"/>
          <w:lang w:val="en-US" w:eastAsia="zh-CN"/>
        </w:rPr>
        <w:t>为</w:t>
      </w:r>
      <w:r>
        <w:rPr>
          <w:rFonts w:hint="eastAsia" w:ascii="仿宋" w:hAnsi="仿宋" w:eastAsia="仿宋" w:cs="仿宋"/>
          <w:b w:val="0"/>
          <w:bCs w:val="0"/>
          <w:sz w:val="32"/>
          <w:szCs w:val="32"/>
          <w:u w:val="none"/>
        </w:rPr>
        <w:t>工会经费66</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17</w:t>
      </w:r>
      <w:r>
        <w:rPr>
          <w:rFonts w:hint="eastAsia" w:ascii="仿宋" w:hAnsi="仿宋" w:eastAsia="仿宋" w:cs="仿宋"/>
          <w:b w:val="0"/>
          <w:bCs w:val="0"/>
          <w:sz w:val="32"/>
          <w:szCs w:val="32"/>
          <w:u w:val="none"/>
          <w:lang w:val="en-US" w:eastAsia="zh-CN"/>
        </w:rPr>
        <w:t>万元</w:t>
      </w:r>
      <w:r>
        <w:rPr>
          <w:rFonts w:hint="eastAsia" w:ascii="仿宋" w:hAnsi="仿宋" w:eastAsia="仿宋" w:cs="仿宋"/>
          <w:b w:val="0"/>
          <w:bCs w:val="0"/>
          <w:sz w:val="32"/>
          <w:szCs w:val="32"/>
          <w:u w:val="none"/>
        </w:rPr>
        <w:t>、福利费98</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55</w:t>
      </w:r>
      <w:r>
        <w:rPr>
          <w:rFonts w:hint="eastAsia" w:ascii="仿宋" w:hAnsi="仿宋" w:eastAsia="仿宋" w:cs="仿宋"/>
          <w:b w:val="0"/>
          <w:bCs w:val="0"/>
          <w:sz w:val="32"/>
          <w:szCs w:val="32"/>
          <w:u w:val="none"/>
          <w:lang w:val="en-US" w:eastAsia="zh-CN"/>
        </w:rPr>
        <w:t>万元</w:t>
      </w:r>
      <w:r>
        <w:rPr>
          <w:rFonts w:hint="eastAsia" w:ascii="仿宋" w:hAnsi="仿宋" w:eastAsia="仿宋" w:cs="仿宋"/>
          <w:b w:val="0"/>
          <w:bCs w:val="0"/>
          <w:sz w:val="32"/>
          <w:szCs w:val="32"/>
          <w:u w:val="none"/>
        </w:rPr>
        <w:t>、其他商品和服务支出67</w:t>
      </w:r>
      <w:r>
        <w:rPr>
          <w:rFonts w:hint="eastAsia" w:ascii="仿宋" w:hAnsi="仿宋" w:eastAsia="仿宋" w:cs="仿宋"/>
          <w:b w:val="0"/>
          <w:bCs w:val="0"/>
          <w:sz w:val="32"/>
          <w:szCs w:val="32"/>
          <w:u w:val="none"/>
          <w:lang w:val="en-US" w:eastAsia="zh-CN"/>
        </w:rPr>
        <w:t>.</w:t>
      </w:r>
      <w:r>
        <w:rPr>
          <w:rFonts w:hint="eastAsia" w:ascii="仿宋" w:hAnsi="仿宋" w:eastAsia="仿宋" w:cs="仿宋"/>
          <w:b w:val="0"/>
          <w:bCs w:val="0"/>
          <w:sz w:val="32"/>
          <w:szCs w:val="32"/>
          <w:u w:val="none"/>
        </w:rPr>
        <w:t>99万元。</w:t>
      </w:r>
    </w:p>
    <w:p w14:paraId="37D74FD0">
      <w:pPr>
        <w:pageBreakBefore w:val="0"/>
        <w:kinsoku/>
        <w:wordWrap/>
        <w:overflowPunct/>
        <w:topLinePunct w:val="0"/>
        <w:bidi w:val="0"/>
        <w:spacing w:line="600" w:lineRule="exact"/>
        <w:ind w:firstLine="640" w:firstLineChars="200"/>
        <w:outlineLvl w:val="0"/>
        <w:rPr>
          <w:rFonts w:eastAsia="黑体" w:cs="黑体"/>
          <w:b w:val="0"/>
          <w:bCs w:val="0"/>
          <w:sz w:val="32"/>
          <w:szCs w:val="36"/>
          <w:u w:val="none"/>
        </w:rPr>
      </w:pPr>
      <w:r>
        <w:rPr>
          <w:rFonts w:hint="eastAsia" w:eastAsia="黑体" w:cs="黑体"/>
          <w:b w:val="0"/>
          <w:bCs w:val="0"/>
          <w:sz w:val="32"/>
          <w:szCs w:val="36"/>
          <w:u w:val="none"/>
        </w:rPr>
        <w:t>七、一般公共预算“三公”经费支出预算情况说明</w:t>
      </w:r>
    </w:p>
    <w:p w14:paraId="763AE460">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lang w:eastAsia="zh-CN"/>
        </w:rPr>
        <w:t>包头市第八医院</w:t>
      </w:r>
      <w:r>
        <w:rPr>
          <w:rFonts w:hint="eastAsia" w:ascii="仿宋" w:hAnsi="仿宋" w:eastAsia="仿宋" w:cs="仿宋"/>
          <w:sz w:val="32"/>
          <w:szCs w:val="32"/>
          <w:u w:val="none"/>
          <w:lang w:val="en-US" w:eastAsia="zh-CN"/>
        </w:rPr>
        <w:t>2025</w:t>
      </w:r>
      <w:r>
        <w:rPr>
          <w:rFonts w:hint="eastAsia" w:ascii="仿宋" w:hAnsi="仿宋" w:eastAsia="仿宋" w:cs="仿宋"/>
          <w:sz w:val="32"/>
          <w:szCs w:val="32"/>
          <w:u w:val="none"/>
        </w:rPr>
        <w:t>年度一般公共预算拨款安排的“三公”经费预算支出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万元，其中因公出国（境）费支出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万元，占“三公”经费的</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 xml:space="preserve"> %；公务用车购置及运行维护费支出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万元，占“三公”经费的</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 xml:space="preserve"> %；公务接待费支出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万元，占“三公”经费的</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%。具体情况如下：</w:t>
      </w:r>
    </w:p>
    <w:p w14:paraId="3D260BB8">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一般公共预算拨款安排的“三公”经费预算支出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万元，比上年预算增加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万元，增长</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%；其中：</w:t>
      </w:r>
    </w:p>
    <w:p w14:paraId="0F0DBB88">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1．因公出国（境）费预算支出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万元，比上年预算增加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万元，主要原因主要原因不存在此项内容。</w:t>
      </w:r>
    </w:p>
    <w:p w14:paraId="235D851A">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2．公务用车购置及运行维护费预算支出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万元。其中：</w:t>
      </w:r>
      <w:r>
        <w:rPr>
          <w:rFonts w:hint="eastAsia" w:ascii="仿宋" w:hAnsi="仿宋" w:eastAsia="仿宋" w:cs="仿宋"/>
          <w:sz w:val="32"/>
          <w:szCs w:val="32"/>
          <w:u w:val="none"/>
        </w:rPr>
        <w:tab/>
      </w:r>
    </w:p>
    <w:p w14:paraId="34E7162B">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（1）公务用车购置预算支出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万元，比上年预算增加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万元，主要原因</w:t>
      </w:r>
      <w:r>
        <w:rPr>
          <w:rFonts w:hint="eastAsia" w:ascii="仿宋" w:hAnsi="仿宋" w:eastAsia="仿宋" w:cs="仿宋"/>
          <w:sz w:val="32"/>
          <w:szCs w:val="32"/>
          <w:u w:val="none"/>
          <w:lang w:eastAsia="zh-CN"/>
        </w:rPr>
        <w:t>不存在此项内容</w:t>
      </w:r>
      <w:r>
        <w:rPr>
          <w:rFonts w:hint="eastAsia" w:ascii="仿宋" w:hAnsi="仿宋" w:eastAsia="仿宋" w:cs="仿宋"/>
          <w:sz w:val="32"/>
          <w:szCs w:val="32"/>
          <w:u w:val="none"/>
        </w:rPr>
        <w:t>。</w:t>
      </w:r>
    </w:p>
    <w:p w14:paraId="70E76A5C">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（2）公务用车运行维护费预算支出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万元，比上年预算增加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万元，主要原因</w:t>
      </w:r>
      <w:r>
        <w:rPr>
          <w:rFonts w:hint="eastAsia" w:ascii="仿宋" w:hAnsi="仿宋" w:eastAsia="仿宋" w:cs="仿宋"/>
          <w:sz w:val="32"/>
          <w:szCs w:val="32"/>
          <w:u w:val="none"/>
          <w:lang w:eastAsia="zh-CN"/>
        </w:rPr>
        <w:t>不存在此项内容</w:t>
      </w:r>
      <w:r>
        <w:rPr>
          <w:rFonts w:hint="eastAsia" w:ascii="仿宋" w:hAnsi="仿宋" w:eastAsia="仿宋" w:cs="仿宋"/>
          <w:sz w:val="32"/>
          <w:szCs w:val="32"/>
          <w:u w:val="none"/>
        </w:rPr>
        <w:t>。</w:t>
      </w:r>
    </w:p>
    <w:p w14:paraId="52939300">
      <w:pPr>
        <w:pStyle w:val="10"/>
        <w:pageBreakBefore w:val="0"/>
        <w:widowControl w:val="0"/>
        <w:tabs>
          <w:tab w:val="left" w:pos="2671"/>
          <w:tab w:val="left" w:pos="5000"/>
          <w:tab w:val="left" w:pos="6190"/>
        </w:tabs>
        <w:kinsoku/>
        <w:wordWrap/>
        <w:overflowPunct/>
        <w:topLinePunct w:val="0"/>
        <w:bidi w:val="0"/>
        <w:spacing w:after="0" w:line="560" w:lineRule="exact"/>
        <w:ind w:firstLine="640" w:firstLineChars="200"/>
        <w:textAlignment w:val="auto"/>
        <w:rPr>
          <w:rFonts w:hint="default" w:ascii="Times New Roman" w:hAnsi="Times New Roman" w:eastAsia="仿宋_GB2312" w:cs="Times New Roman"/>
          <w:sz w:val="32"/>
          <w:szCs w:val="32"/>
          <w:u w:val="none"/>
        </w:rPr>
      </w:pPr>
      <w:r>
        <w:rPr>
          <w:rFonts w:hint="eastAsia" w:ascii="仿宋" w:hAnsi="仿宋" w:eastAsia="仿宋" w:cs="仿宋"/>
          <w:sz w:val="32"/>
          <w:szCs w:val="32"/>
          <w:u w:val="none"/>
        </w:rPr>
        <w:t>3．公务接待费预算支出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万元，比上年预算增加</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万元，主要原因</w:t>
      </w:r>
      <w:r>
        <w:rPr>
          <w:rFonts w:hint="eastAsia" w:ascii="仿宋" w:hAnsi="仿宋" w:eastAsia="仿宋" w:cs="仿宋"/>
          <w:sz w:val="32"/>
          <w:szCs w:val="32"/>
          <w:u w:val="none"/>
          <w:lang w:eastAsia="zh-CN"/>
        </w:rPr>
        <w:t>不存在此项内容</w:t>
      </w:r>
      <w:r>
        <w:rPr>
          <w:rFonts w:hint="eastAsia" w:ascii="仿宋" w:hAnsi="仿宋" w:eastAsia="仿宋" w:cs="仿宋"/>
          <w:sz w:val="32"/>
          <w:szCs w:val="32"/>
          <w:u w:val="none"/>
        </w:rPr>
        <w:t>。</w:t>
      </w:r>
    </w:p>
    <w:p w14:paraId="0110847A">
      <w:pPr>
        <w:pageBreakBefore w:val="0"/>
        <w:kinsoku/>
        <w:wordWrap/>
        <w:overflowPunct/>
        <w:topLinePunct w:val="0"/>
        <w:bidi w:val="0"/>
        <w:spacing w:line="600" w:lineRule="exact"/>
        <w:ind w:firstLine="640" w:firstLineChars="200"/>
        <w:outlineLvl w:val="0"/>
        <w:rPr>
          <w:rFonts w:eastAsia="黑体" w:cs="黑体"/>
          <w:b w:val="0"/>
          <w:bCs w:val="0"/>
          <w:sz w:val="32"/>
          <w:szCs w:val="36"/>
          <w:u w:val="none"/>
        </w:rPr>
      </w:pPr>
      <w:r>
        <w:rPr>
          <w:rFonts w:hint="eastAsia" w:eastAsia="黑体" w:cs="黑体"/>
          <w:b w:val="0"/>
          <w:bCs w:val="0"/>
          <w:sz w:val="32"/>
          <w:szCs w:val="36"/>
          <w:u w:val="none"/>
        </w:rPr>
        <w:t>八、政府性基金预算支出预算情况说明</w:t>
      </w:r>
    </w:p>
    <w:p w14:paraId="710DF2DF">
      <w:pPr>
        <w:pageBreakBefore w:val="0"/>
        <w:widowControl w:val="0"/>
        <w:kinsoku/>
        <w:wordWrap/>
        <w:overflowPunct/>
        <w:topLinePunct w:val="0"/>
        <w:bidi w:val="0"/>
        <w:spacing w:line="560" w:lineRule="exact"/>
        <w:ind w:firstLine="640" w:firstLineChars="200"/>
        <w:textAlignment w:val="auto"/>
        <w:outlineLvl w:val="0"/>
        <w:rPr>
          <w:rFonts w:hint="eastAsia" w:ascii="仿宋" w:hAnsi="仿宋" w:eastAsia="仿宋" w:cs="仿宋"/>
          <w:sz w:val="32"/>
          <w:szCs w:val="32"/>
          <w:u w:val="none"/>
          <w:lang w:eastAsia="zh-CN"/>
        </w:rPr>
      </w:pPr>
      <w:r>
        <w:rPr>
          <w:rFonts w:hint="eastAsia" w:ascii="仿宋" w:hAnsi="仿宋" w:eastAsia="仿宋" w:cs="仿宋"/>
          <w:sz w:val="32"/>
          <w:szCs w:val="32"/>
          <w:u w:val="none"/>
          <w:lang w:eastAsia="zh-CN"/>
        </w:rPr>
        <w:t>包头市第八医院202</w:t>
      </w:r>
      <w:r>
        <w:rPr>
          <w:rFonts w:hint="eastAsia" w:ascii="仿宋" w:hAnsi="仿宋" w:eastAsia="仿宋" w:cs="仿宋"/>
          <w:sz w:val="32"/>
          <w:szCs w:val="32"/>
          <w:u w:val="none"/>
          <w:lang w:val="en-US" w:eastAsia="zh-CN"/>
        </w:rPr>
        <w:t>5</w:t>
      </w:r>
      <w:r>
        <w:rPr>
          <w:rFonts w:hint="eastAsia" w:ascii="仿宋" w:hAnsi="仿宋" w:eastAsia="仿宋" w:cs="仿宋"/>
          <w:sz w:val="32"/>
          <w:szCs w:val="32"/>
          <w:u w:val="none"/>
          <w:lang w:eastAsia="zh-CN"/>
        </w:rPr>
        <w:t>年政府性基金支出预算支出0万元。与上年相比增加0万元，增长0%。主要原因：本年无政府性基金预算拨款支出，以空表列示。</w:t>
      </w:r>
    </w:p>
    <w:p w14:paraId="3344F4E9">
      <w:pPr>
        <w:pageBreakBefore w:val="0"/>
        <w:kinsoku/>
        <w:wordWrap/>
        <w:overflowPunct/>
        <w:topLinePunct w:val="0"/>
        <w:bidi w:val="0"/>
        <w:spacing w:line="600" w:lineRule="exact"/>
        <w:ind w:firstLine="640" w:firstLineChars="200"/>
        <w:outlineLvl w:val="0"/>
        <w:rPr>
          <w:rFonts w:eastAsia="黑体" w:cs="黑体"/>
          <w:b w:val="0"/>
          <w:bCs w:val="0"/>
          <w:sz w:val="32"/>
          <w:szCs w:val="36"/>
          <w:u w:val="none"/>
        </w:rPr>
      </w:pPr>
      <w:r>
        <w:rPr>
          <w:rFonts w:hint="eastAsia" w:eastAsia="黑体" w:cs="黑体"/>
          <w:b w:val="0"/>
          <w:bCs w:val="0"/>
          <w:sz w:val="32"/>
          <w:szCs w:val="36"/>
          <w:u w:val="none"/>
        </w:rPr>
        <w:t>九、国有资本经营预算支出预算情况说明</w:t>
      </w:r>
    </w:p>
    <w:p w14:paraId="6B14E05E">
      <w:pPr>
        <w:pageBreakBefore w:val="0"/>
        <w:widowControl w:val="0"/>
        <w:pBdr>
          <w:bottom w:val="single" w:color="FFFFFF" w:sz="4" w:space="30"/>
        </w:pBdr>
        <w:kinsoku/>
        <w:wordWrap/>
        <w:overflowPunct/>
        <w:topLinePunct w:val="0"/>
        <w:bidi w:val="0"/>
        <w:snapToGrid w:val="0"/>
        <w:spacing w:line="560" w:lineRule="exact"/>
        <w:ind w:firstLine="640" w:firstLineChars="200"/>
        <w:textAlignment w:val="auto"/>
        <w:rPr>
          <w:rFonts w:hint="eastAsia" w:ascii="仿宋" w:hAnsi="仿宋" w:eastAsia="仿宋" w:cs="仿宋"/>
          <w:bCs/>
          <w:color w:val="auto"/>
          <w:sz w:val="32"/>
          <w:szCs w:val="32"/>
          <w:highlight w:val="none"/>
          <w:u w:val="none"/>
          <w:lang w:val="en-US" w:eastAsia="zh-CN"/>
        </w:rPr>
      </w:pPr>
      <w:r>
        <w:rPr>
          <w:rFonts w:hint="eastAsia" w:ascii="仿宋" w:hAnsi="仿宋" w:eastAsia="仿宋" w:cs="仿宋"/>
          <w:bCs/>
          <w:color w:val="auto"/>
          <w:sz w:val="32"/>
          <w:szCs w:val="32"/>
          <w:highlight w:val="none"/>
          <w:u w:val="none"/>
          <w:lang w:val="en-US" w:eastAsia="zh-CN"/>
        </w:rPr>
        <w:t>包头市第八医院2025年国有资本经营预算支出0万元。与上年相比增加0万元，增长0%。主要原因：本年无国有资本经营预算拨款支出，以空表列示。</w:t>
      </w:r>
    </w:p>
    <w:p w14:paraId="323DB686">
      <w:pPr>
        <w:pageBreakBefore w:val="0"/>
        <w:widowControl w:val="0"/>
        <w:numPr>
          <w:ilvl w:val="0"/>
          <w:numId w:val="6"/>
        </w:numPr>
        <w:pBdr>
          <w:bottom w:val="single" w:color="FFFFFF" w:sz="4" w:space="30"/>
        </w:pBdr>
        <w:kinsoku/>
        <w:wordWrap/>
        <w:overflowPunct/>
        <w:topLinePunct w:val="0"/>
        <w:bidi w:val="0"/>
        <w:snapToGrid w:val="0"/>
        <w:spacing w:line="560" w:lineRule="exact"/>
        <w:ind w:firstLine="640" w:firstLineChars="200"/>
        <w:textAlignment w:val="auto"/>
        <w:rPr>
          <w:rFonts w:hint="eastAsia" w:eastAsia="黑体" w:cs="黑体"/>
          <w:b w:val="0"/>
          <w:bCs w:val="0"/>
          <w:sz w:val="32"/>
          <w:szCs w:val="36"/>
          <w:u w:val="none"/>
        </w:rPr>
      </w:pPr>
      <w:r>
        <w:rPr>
          <w:rFonts w:hint="eastAsia" w:eastAsia="黑体" w:cs="黑体"/>
          <w:b w:val="0"/>
          <w:bCs w:val="0"/>
          <w:sz w:val="32"/>
          <w:szCs w:val="36"/>
          <w:u w:val="none"/>
        </w:rPr>
        <w:t>项目支出预算情况说明</w:t>
      </w:r>
    </w:p>
    <w:p w14:paraId="1DBCB696">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lang w:eastAsia="zh-CN"/>
        </w:rPr>
        <w:t>2025年单位</w:t>
      </w:r>
      <w:r>
        <w:rPr>
          <w:rFonts w:hint="eastAsia" w:ascii="仿宋" w:hAnsi="仿宋" w:eastAsia="仿宋" w:cs="仿宋"/>
          <w:sz w:val="32"/>
          <w:szCs w:val="32"/>
          <w:u w:val="none"/>
        </w:rPr>
        <w:t>预算安排项目</w:t>
      </w:r>
      <w:r>
        <w:rPr>
          <w:rFonts w:hint="eastAsia" w:ascii="仿宋" w:hAnsi="仿宋" w:eastAsia="仿宋" w:cs="仿宋"/>
          <w:sz w:val="32"/>
          <w:szCs w:val="32"/>
          <w:u w:val="none"/>
          <w:lang w:val="en-US" w:eastAsia="zh-CN"/>
        </w:rPr>
        <w:t>1</w:t>
      </w:r>
      <w:r>
        <w:rPr>
          <w:rFonts w:hint="eastAsia" w:ascii="仿宋" w:hAnsi="仿宋" w:eastAsia="仿宋" w:cs="仿宋"/>
          <w:sz w:val="32"/>
          <w:szCs w:val="32"/>
          <w:u w:val="none"/>
        </w:rPr>
        <w:t>个，项目预算总金额14</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650.21万元。其中，财政本年拨款金额</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万元，财政拨款结转结余</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万元，财政专户管理资金</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万元，单位资金</w:t>
      </w:r>
      <w:r>
        <w:rPr>
          <w:rFonts w:hint="default" w:ascii="仿宋" w:hAnsi="仿宋" w:eastAsia="仿宋" w:cs="仿宋"/>
          <w:sz w:val="32"/>
          <w:szCs w:val="32"/>
          <w:u w:val="none"/>
        </w:rPr>
        <w:tab/>
      </w:r>
      <w:r>
        <w:rPr>
          <w:rFonts w:hint="default" w:ascii="仿宋" w:hAnsi="仿宋" w:eastAsia="仿宋" w:cs="仿宋"/>
          <w:sz w:val="32"/>
          <w:szCs w:val="32"/>
          <w:u w:val="none"/>
        </w:rPr>
        <w:t>14</w:t>
      </w:r>
      <w:r>
        <w:rPr>
          <w:rFonts w:hint="eastAsia" w:ascii="仿宋" w:hAnsi="仿宋" w:eastAsia="仿宋" w:cs="仿宋"/>
          <w:sz w:val="32"/>
          <w:szCs w:val="32"/>
          <w:u w:val="none"/>
          <w:lang w:val="en-US" w:eastAsia="zh-CN"/>
        </w:rPr>
        <w:t>,</w:t>
      </w:r>
      <w:r>
        <w:rPr>
          <w:rFonts w:hint="default" w:ascii="仿宋" w:hAnsi="仿宋" w:eastAsia="仿宋" w:cs="仿宋"/>
          <w:sz w:val="32"/>
          <w:szCs w:val="32"/>
          <w:u w:val="none"/>
        </w:rPr>
        <w:t>650.21</w:t>
      </w:r>
      <w:r>
        <w:rPr>
          <w:rFonts w:hint="eastAsia" w:ascii="仿宋" w:hAnsi="仿宋" w:eastAsia="仿宋" w:cs="仿宋"/>
          <w:sz w:val="32"/>
          <w:szCs w:val="32"/>
          <w:u w:val="none"/>
        </w:rPr>
        <w:t>万元。</w:t>
      </w:r>
    </w:p>
    <w:p w14:paraId="2AD57A01">
      <w:pPr>
        <w:pageBreakBefore w:val="0"/>
        <w:widowControl w:val="0"/>
        <w:pBdr>
          <w:bottom w:val="single" w:color="FFFFFF" w:sz="4" w:space="30"/>
        </w:pBdr>
        <w:kinsoku/>
        <w:wordWrap/>
        <w:overflowPunct/>
        <w:topLinePunct w:val="0"/>
        <w:bidi w:val="0"/>
        <w:snapToGrid w:val="0"/>
        <w:spacing w:line="560" w:lineRule="exact"/>
        <w:ind w:firstLine="640" w:firstLineChars="200"/>
        <w:textAlignment w:val="auto"/>
        <w:rPr>
          <w:rFonts w:hint="default" w:ascii="楷体" w:hAnsi="楷体" w:eastAsia="楷体" w:cs="楷体"/>
          <w:b/>
          <w:bCs/>
          <w:kern w:val="2"/>
          <w:sz w:val="32"/>
          <w:szCs w:val="32"/>
          <w:u w:val="none"/>
          <w:lang w:val="en-US" w:eastAsia="zh-CN" w:bidi="ar-SA"/>
        </w:rPr>
      </w:pPr>
      <w:r>
        <w:rPr>
          <w:rFonts w:hint="default" w:ascii="Times New Roman" w:hAnsi="Times New Roman" w:eastAsia="仿宋_GB2312" w:cs="Times New Roman"/>
          <w:bCs/>
          <w:color w:val="000000" w:themeColor="text1"/>
          <w:sz w:val="32"/>
          <w:szCs w:val="32"/>
          <w:highlight w:val="none"/>
          <w:u w:val="none"/>
          <w:lang w:eastAsia="zh-CN"/>
          <w14:textFill>
            <w14:solidFill>
              <w14:schemeClr w14:val="tx1"/>
            </w14:solidFill>
          </w14:textFill>
        </w:rPr>
        <w:t>（一）</w:t>
      </w:r>
      <w:r>
        <w:rPr>
          <w:rFonts w:hint="default" w:ascii="楷体" w:hAnsi="楷体" w:eastAsia="楷体" w:cs="楷体"/>
          <w:b/>
          <w:bCs/>
          <w:kern w:val="2"/>
          <w:sz w:val="32"/>
          <w:szCs w:val="32"/>
          <w:u w:val="none"/>
          <w:lang w:val="en-US" w:eastAsia="zh-CN" w:bidi="ar-SA"/>
        </w:rPr>
        <w:t>公立医院单位资金支出项目</w:t>
      </w:r>
    </w:p>
    <w:p w14:paraId="3E6ED233">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 xml:space="preserve">1.项目概述 </w:t>
      </w:r>
    </w:p>
    <w:p w14:paraId="3BA513B2">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eastAsia"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公立医院单位资金支出项目</w:t>
      </w:r>
      <w:r>
        <w:rPr>
          <w:rFonts w:hint="eastAsia" w:ascii="仿宋" w:hAnsi="仿宋" w:eastAsia="仿宋" w:cs="仿宋"/>
          <w:sz w:val="32"/>
          <w:szCs w:val="32"/>
          <w:highlight w:val="none"/>
          <w:u w:val="none"/>
          <w:lang w:val="en-US" w:eastAsia="zh-CN"/>
        </w:rPr>
        <w:t>是保障单位日常运营支出及商品和服务支出。</w:t>
      </w:r>
    </w:p>
    <w:p w14:paraId="74D18574">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2.立项依据</w:t>
      </w:r>
    </w:p>
    <w:p w14:paraId="026B3E04">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依据单位规模、运营要求，2025年编制公立医院单位资金项目预算。</w:t>
      </w:r>
    </w:p>
    <w:p w14:paraId="12F4A7ED">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 xml:space="preserve">3.实施主体 </w:t>
      </w:r>
    </w:p>
    <w:p w14:paraId="65DF6249">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包头市第八医院</w:t>
      </w:r>
    </w:p>
    <w:p w14:paraId="1FC9D554">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 xml:space="preserve">4.实施方案 </w:t>
      </w:r>
    </w:p>
    <w:p w14:paraId="1108C6C2">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根据医院日常运转需求，保障医院正常运转，提高医院效率，改善医院就医环境，增加医院总体收益。</w:t>
      </w:r>
    </w:p>
    <w:p w14:paraId="346EC69C">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 xml:space="preserve">5.实施周期 </w:t>
      </w:r>
    </w:p>
    <w:p w14:paraId="2EA98EAB">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自202</w:t>
      </w:r>
      <w:r>
        <w:rPr>
          <w:rFonts w:hint="eastAsia" w:ascii="仿宋" w:hAnsi="仿宋" w:eastAsia="仿宋" w:cs="仿宋"/>
          <w:sz w:val="32"/>
          <w:szCs w:val="32"/>
          <w:highlight w:val="none"/>
          <w:u w:val="none"/>
          <w:lang w:val="en-US" w:eastAsia="zh-CN"/>
        </w:rPr>
        <w:t>5</w:t>
      </w:r>
      <w:r>
        <w:rPr>
          <w:rFonts w:hint="default" w:ascii="仿宋" w:hAnsi="仿宋" w:eastAsia="仿宋" w:cs="仿宋"/>
          <w:sz w:val="32"/>
          <w:szCs w:val="32"/>
          <w:highlight w:val="none"/>
          <w:u w:val="none"/>
          <w:lang w:val="en-US" w:eastAsia="zh-CN"/>
        </w:rPr>
        <w:t>年1月1日至202</w:t>
      </w:r>
      <w:r>
        <w:rPr>
          <w:rFonts w:hint="eastAsia" w:ascii="仿宋" w:hAnsi="仿宋" w:eastAsia="仿宋" w:cs="仿宋"/>
          <w:sz w:val="32"/>
          <w:szCs w:val="32"/>
          <w:highlight w:val="none"/>
          <w:u w:val="none"/>
          <w:lang w:val="en-US" w:eastAsia="zh-CN"/>
        </w:rPr>
        <w:t>5</w:t>
      </w:r>
      <w:r>
        <w:rPr>
          <w:rFonts w:hint="default" w:ascii="仿宋" w:hAnsi="仿宋" w:eastAsia="仿宋" w:cs="仿宋"/>
          <w:sz w:val="32"/>
          <w:szCs w:val="32"/>
          <w:highlight w:val="none"/>
          <w:u w:val="none"/>
          <w:lang w:val="en-US" w:eastAsia="zh-CN"/>
        </w:rPr>
        <w:t xml:space="preserve">年12月31日。 </w:t>
      </w:r>
    </w:p>
    <w:p w14:paraId="6910C33B">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6.</w:t>
      </w:r>
      <w:r>
        <w:rPr>
          <w:rFonts w:hint="default" w:ascii="仿宋" w:hAnsi="仿宋" w:eastAsia="仿宋" w:cs="仿宋"/>
          <w:sz w:val="32"/>
          <w:szCs w:val="32"/>
          <w:highlight w:val="none"/>
          <w:u w:val="none"/>
          <w:lang w:val="en-US" w:eastAsia="zh-CN"/>
        </w:rPr>
        <w:t xml:space="preserve">年度预算安排 </w:t>
      </w:r>
    </w:p>
    <w:p w14:paraId="0A6FD601">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eastAsia"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202</w:t>
      </w:r>
      <w:r>
        <w:rPr>
          <w:rFonts w:hint="eastAsia" w:ascii="仿宋" w:hAnsi="仿宋" w:eastAsia="仿宋" w:cs="仿宋"/>
          <w:sz w:val="32"/>
          <w:szCs w:val="32"/>
          <w:highlight w:val="none"/>
          <w:u w:val="none"/>
          <w:lang w:val="en-US" w:eastAsia="zh-CN"/>
        </w:rPr>
        <w:t>4</w:t>
      </w:r>
      <w:r>
        <w:rPr>
          <w:rFonts w:hint="default" w:ascii="仿宋" w:hAnsi="仿宋" w:eastAsia="仿宋" w:cs="仿宋"/>
          <w:sz w:val="32"/>
          <w:szCs w:val="32"/>
          <w:highlight w:val="none"/>
          <w:u w:val="none"/>
          <w:lang w:val="en-US" w:eastAsia="zh-CN"/>
        </w:rPr>
        <w:t>年该项目预算</w:t>
      </w:r>
      <w:r>
        <w:rPr>
          <w:rFonts w:hint="default" w:ascii="Times New Roman" w:hAnsi="Times New Roman" w:eastAsia="仿宋_GB2312" w:cs="Times New Roman"/>
          <w:sz w:val="32"/>
          <w:szCs w:val="32"/>
          <w:u w:val="none"/>
        </w:rPr>
        <w:tab/>
      </w:r>
      <w:r>
        <w:rPr>
          <w:rFonts w:hint="default" w:ascii="仿宋" w:hAnsi="仿宋" w:eastAsia="仿宋" w:cs="仿宋"/>
          <w:sz w:val="32"/>
          <w:szCs w:val="32"/>
          <w:highlight w:val="none"/>
          <w:u w:val="none"/>
          <w:lang w:val="en-US" w:eastAsia="zh-CN"/>
        </w:rPr>
        <w:t>14</w:t>
      </w:r>
      <w:r>
        <w:rPr>
          <w:rFonts w:hint="eastAsia" w:ascii="仿宋" w:hAnsi="仿宋" w:eastAsia="仿宋" w:cs="仿宋"/>
          <w:sz w:val="32"/>
          <w:szCs w:val="32"/>
          <w:highlight w:val="none"/>
          <w:u w:val="none"/>
          <w:lang w:val="en-US" w:eastAsia="zh-CN"/>
        </w:rPr>
        <w:t>,</w:t>
      </w:r>
      <w:r>
        <w:rPr>
          <w:rFonts w:hint="default" w:ascii="仿宋" w:hAnsi="仿宋" w:eastAsia="仿宋" w:cs="仿宋"/>
          <w:sz w:val="32"/>
          <w:szCs w:val="32"/>
          <w:highlight w:val="none"/>
          <w:u w:val="none"/>
          <w:lang w:val="en-US" w:eastAsia="zh-CN"/>
        </w:rPr>
        <w:t>650.21</w:t>
      </w:r>
      <w:r>
        <w:rPr>
          <w:rFonts w:hint="eastAsia" w:ascii="仿宋" w:hAnsi="仿宋" w:eastAsia="仿宋" w:cs="仿宋"/>
          <w:sz w:val="32"/>
          <w:szCs w:val="32"/>
          <w:highlight w:val="none"/>
          <w:u w:val="none"/>
          <w:lang w:val="en-US" w:eastAsia="zh-CN"/>
        </w:rPr>
        <w:t>万</w:t>
      </w:r>
      <w:r>
        <w:rPr>
          <w:rFonts w:hint="default" w:ascii="仿宋" w:hAnsi="仿宋" w:eastAsia="仿宋" w:cs="仿宋"/>
          <w:sz w:val="32"/>
          <w:szCs w:val="32"/>
          <w:highlight w:val="none"/>
          <w:u w:val="none"/>
          <w:lang w:val="en-US" w:eastAsia="zh-CN"/>
        </w:rPr>
        <w:t>元</w:t>
      </w:r>
      <w:r>
        <w:rPr>
          <w:rFonts w:hint="eastAsia" w:ascii="仿宋" w:hAnsi="仿宋" w:eastAsia="仿宋" w:cs="仿宋"/>
          <w:sz w:val="32"/>
          <w:szCs w:val="32"/>
          <w:highlight w:val="none"/>
          <w:u w:val="none"/>
          <w:lang w:val="en-US" w:eastAsia="zh-CN"/>
        </w:rPr>
        <w:t>。</w:t>
      </w:r>
    </w:p>
    <w:p w14:paraId="31E2D50C">
      <w:pPr>
        <w:pageBreakBefore w:val="0"/>
        <w:pBdr>
          <w:bottom w:val="single" w:color="FFFFFF" w:sz="4" w:space="30"/>
        </w:pBdr>
        <w:kinsoku/>
        <w:wordWrap/>
        <w:overflowPunct/>
        <w:topLinePunct w:val="0"/>
        <w:bidi w:val="0"/>
        <w:snapToGrid w:val="0"/>
        <w:spacing w:line="600" w:lineRule="exact"/>
        <w:rPr>
          <w:rFonts w:hint="eastAsia" w:eastAsia="黑体" w:cs="黑体"/>
          <w:b w:val="0"/>
          <w:bCs w:val="0"/>
          <w:sz w:val="32"/>
          <w:szCs w:val="36"/>
          <w:u w:val="none"/>
        </w:rPr>
      </w:pPr>
      <w:r>
        <w:rPr>
          <w:rFonts w:hint="eastAsia" w:ascii="黑体" w:hAnsi="黑体" w:eastAsia="黑体" w:cs="黑体"/>
          <w:b w:val="0"/>
          <w:bCs/>
          <w:i w:val="0"/>
          <w:iCs w:val="0"/>
          <w:color w:val="000000" w:themeColor="text1"/>
          <w:sz w:val="32"/>
          <w:szCs w:val="32"/>
          <w:highlight w:val="none"/>
          <w:u w:val="none"/>
          <w:lang w:val="en-US" w:eastAsia="zh-CN"/>
          <w14:textFill>
            <w14:solidFill>
              <w14:schemeClr w14:val="tx1"/>
            </w14:solidFill>
          </w14:textFill>
        </w:rPr>
        <w:t xml:space="preserve">    十一、</w:t>
      </w:r>
      <w:r>
        <w:rPr>
          <w:rFonts w:hint="eastAsia" w:eastAsia="黑体" w:cs="黑体"/>
          <w:b w:val="0"/>
          <w:bCs w:val="0"/>
          <w:sz w:val="32"/>
          <w:szCs w:val="36"/>
          <w:u w:val="none"/>
        </w:rPr>
        <w:t>一般公共预算机关运行经费支出预算情况说明</w:t>
      </w:r>
    </w:p>
    <w:p w14:paraId="2E19C731">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eastAsia="zh-CN"/>
        </w:rPr>
        <w:t>202</w:t>
      </w:r>
      <w:r>
        <w:rPr>
          <w:rFonts w:hint="eastAsia" w:ascii="仿宋" w:hAnsi="仿宋" w:eastAsia="仿宋" w:cs="仿宋"/>
          <w:sz w:val="32"/>
          <w:szCs w:val="32"/>
          <w:highlight w:val="none"/>
          <w:u w:val="none"/>
          <w:lang w:val="en-US" w:eastAsia="zh-CN"/>
        </w:rPr>
        <w:t>5</w:t>
      </w:r>
      <w:r>
        <w:rPr>
          <w:rFonts w:hint="eastAsia" w:ascii="仿宋" w:hAnsi="仿宋" w:eastAsia="仿宋" w:cs="仿宋"/>
          <w:sz w:val="32"/>
          <w:szCs w:val="32"/>
          <w:highlight w:val="none"/>
          <w:u w:val="none"/>
          <w:lang w:eastAsia="zh-CN"/>
        </w:rPr>
        <w:t>年包头市第八医院一般公共预算机关运行经费预算支出</w:t>
      </w:r>
      <w:r>
        <w:rPr>
          <w:rFonts w:hint="eastAsia" w:ascii="仿宋" w:hAnsi="仿宋" w:eastAsia="仿宋" w:cs="仿宋"/>
          <w:sz w:val="32"/>
          <w:szCs w:val="32"/>
          <w:highlight w:val="none"/>
          <w:u w:val="none"/>
          <w:lang w:val="en-US" w:eastAsia="zh-CN"/>
        </w:rPr>
        <w:t>232.71</w:t>
      </w:r>
      <w:r>
        <w:rPr>
          <w:rFonts w:hint="eastAsia" w:ascii="仿宋" w:hAnsi="仿宋" w:eastAsia="仿宋" w:cs="仿宋"/>
          <w:sz w:val="32"/>
          <w:szCs w:val="32"/>
          <w:highlight w:val="none"/>
          <w:u w:val="none"/>
          <w:lang w:eastAsia="zh-CN"/>
        </w:rPr>
        <w:t>万元，主要包括以下支出：主要为工会经费66.17万元、福利费98.55万元、其他商品和服务支出67.99万元。与上年相比</w:t>
      </w:r>
      <w:r>
        <w:rPr>
          <w:rFonts w:hint="eastAsia" w:ascii="仿宋" w:hAnsi="仿宋" w:eastAsia="仿宋" w:cs="仿宋"/>
          <w:sz w:val="32"/>
          <w:szCs w:val="32"/>
          <w:highlight w:val="none"/>
          <w:u w:val="none"/>
          <w:lang w:val="en-US" w:eastAsia="zh-CN"/>
        </w:rPr>
        <w:t>增加218.41</w:t>
      </w:r>
      <w:r>
        <w:rPr>
          <w:rFonts w:hint="eastAsia" w:ascii="仿宋" w:hAnsi="仿宋" w:eastAsia="仿宋" w:cs="仿宋"/>
          <w:sz w:val="32"/>
          <w:szCs w:val="32"/>
          <w:highlight w:val="none"/>
          <w:u w:val="none"/>
          <w:lang w:eastAsia="zh-CN"/>
        </w:rPr>
        <w:t>万元，</w:t>
      </w:r>
      <w:r>
        <w:rPr>
          <w:rFonts w:hint="eastAsia" w:ascii="仿宋" w:hAnsi="仿宋" w:eastAsia="仿宋" w:cs="仿宋"/>
          <w:sz w:val="32"/>
          <w:szCs w:val="32"/>
          <w:highlight w:val="none"/>
          <w:u w:val="none"/>
          <w:lang w:val="en-US" w:eastAsia="zh-CN"/>
        </w:rPr>
        <w:t>增加1527.34</w:t>
      </w:r>
      <w:r>
        <w:rPr>
          <w:rFonts w:hint="eastAsia" w:ascii="仿宋" w:hAnsi="仿宋" w:eastAsia="仿宋" w:cs="仿宋"/>
          <w:sz w:val="32"/>
          <w:szCs w:val="32"/>
          <w:highlight w:val="none"/>
          <w:u w:val="none"/>
          <w:lang w:eastAsia="zh-CN"/>
        </w:rPr>
        <w:t>%。主要原因：</w:t>
      </w:r>
      <w:r>
        <w:rPr>
          <w:rFonts w:hint="eastAsia" w:ascii="仿宋" w:hAnsi="仿宋" w:eastAsia="仿宋" w:cs="仿宋"/>
          <w:sz w:val="32"/>
          <w:szCs w:val="32"/>
          <w:highlight w:val="none"/>
          <w:u w:val="none"/>
          <w:lang w:val="en-US" w:eastAsia="zh-CN"/>
        </w:rPr>
        <w:t>本年残疾人就业保障金、</w:t>
      </w:r>
      <w:r>
        <w:rPr>
          <w:rFonts w:hint="eastAsia" w:ascii="仿宋" w:hAnsi="仿宋" w:eastAsia="仿宋" w:cs="仿宋"/>
          <w:sz w:val="32"/>
          <w:szCs w:val="32"/>
          <w:highlight w:val="none"/>
          <w:u w:val="none"/>
          <w:lang w:eastAsia="zh-CN"/>
        </w:rPr>
        <w:t>工会经费</w:t>
      </w:r>
      <w:r>
        <w:rPr>
          <w:rFonts w:hint="eastAsia" w:ascii="仿宋" w:hAnsi="仿宋" w:eastAsia="仿宋" w:cs="仿宋"/>
          <w:sz w:val="32"/>
          <w:szCs w:val="32"/>
          <w:highlight w:val="none"/>
          <w:u w:val="none"/>
          <w:lang w:val="en-US" w:eastAsia="zh-CN"/>
        </w:rPr>
        <w:t>、</w:t>
      </w:r>
      <w:r>
        <w:rPr>
          <w:rFonts w:hint="eastAsia" w:ascii="仿宋" w:hAnsi="仿宋" w:eastAsia="仿宋" w:cs="仿宋"/>
          <w:sz w:val="32"/>
          <w:szCs w:val="32"/>
          <w:highlight w:val="none"/>
          <w:u w:val="none"/>
          <w:lang w:eastAsia="zh-CN"/>
        </w:rPr>
        <w:t>福利费</w:t>
      </w:r>
      <w:r>
        <w:rPr>
          <w:rFonts w:hint="eastAsia" w:ascii="仿宋" w:hAnsi="仿宋" w:eastAsia="仿宋" w:cs="仿宋"/>
          <w:sz w:val="32"/>
          <w:szCs w:val="32"/>
          <w:highlight w:val="none"/>
          <w:u w:val="none"/>
          <w:lang w:val="en-US" w:eastAsia="zh-CN"/>
        </w:rPr>
        <w:t>由人员经费科目调整至</w:t>
      </w:r>
      <w:r>
        <w:rPr>
          <w:rFonts w:hint="eastAsia" w:ascii="仿宋" w:hAnsi="仿宋" w:eastAsia="仿宋" w:cs="仿宋"/>
          <w:sz w:val="32"/>
          <w:szCs w:val="32"/>
          <w:highlight w:val="none"/>
          <w:u w:val="none"/>
          <w:lang w:eastAsia="zh-CN"/>
        </w:rPr>
        <w:t>机关运行经费</w:t>
      </w:r>
      <w:r>
        <w:rPr>
          <w:rFonts w:hint="eastAsia" w:ascii="仿宋" w:hAnsi="仿宋" w:eastAsia="仿宋" w:cs="仿宋"/>
          <w:sz w:val="32"/>
          <w:szCs w:val="32"/>
          <w:highlight w:val="none"/>
          <w:u w:val="none"/>
          <w:lang w:val="en-US" w:eastAsia="zh-CN"/>
        </w:rPr>
        <w:t>科目核算。</w:t>
      </w:r>
    </w:p>
    <w:p w14:paraId="4BD75D21">
      <w:pPr>
        <w:pageBreakBefore w:val="0"/>
        <w:numPr>
          <w:ilvl w:val="0"/>
          <w:numId w:val="0"/>
        </w:numPr>
        <w:pBdr>
          <w:bottom w:val="single" w:color="FFFFFF" w:sz="4" w:space="30"/>
        </w:pBdr>
        <w:kinsoku/>
        <w:wordWrap/>
        <w:overflowPunct/>
        <w:topLinePunct w:val="0"/>
        <w:bidi w:val="0"/>
        <w:snapToGrid w:val="0"/>
        <w:spacing w:line="600" w:lineRule="exact"/>
        <w:rPr>
          <w:rFonts w:eastAsia="仿宋_GB2312" w:cstheme="minorBidi"/>
          <w:sz w:val="32"/>
          <w:szCs w:val="32"/>
          <w:highlight w:val="yellow"/>
          <w:u w:val="none"/>
        </w:rPr>
      </w:pPr>
      <w:r>
        <w:rPr>
          <w:rFonts w:hint="eastAsia" w:eastAsia="黑体" w:cs="黑体"/>
          <w:b w:val="0"/>
          <w:bCs w:val="0"/>
          <w:sz w:val="32"/>
          <w:szCs w:val="36"/>
          <w:u w:val="none"/>
          <w:lang w:val="en-US" w:eastAsia="zh-CN"/>
        </w:rPr>
        <w:t xml:space="preserve">    十二、</w:t>
      </w:r>
      <w:r>
        <w:rPr>
          <w:rFonts w:hint="eastAsia" w:eastAsia="黑体" w:cs="黑体"/>
          <w:b w:val="0"/>
          <w:bCs w:val="0"/>
          <w:sz w:val="32"/>
          <w:szCs w:val="36"/>
          <w:u w:val="none"/>
        </w:rPr>
        <w:t>政府采购支出预算情况说明</w:t>
      </w:r>
    </w:p>
    <w:p w14:paraId="19944E32">
      <w:pPr>
        <w:pageBreakBefore w:val="0"/>
        <w:numPr>
          <w:ilvl w:val="0"/>
          <w:numId w:val="0"/>
        </w:numPr>
        <w:pBdr>
          <w:bottom w:val="single" w:color="FFFFFF" w:sz="4" w:space="30"/>
        </w:pBdr>
        <w:kinsoku/>
        <w:wordWrap/>
        <w:overflowPunct/>
        <w:topLinePunct w:val="0"/>
        <w:bidi w:val="0"/>
        <w:snapToGrid w:val="0"/>
        <w:spacing w:line="600" w:lineRule="exact"/>
        <w:ind w:firstLine="640" w:firstLineChars="200"/>
        <w:rPr>
          <w:rFonts w:hint="eastAsia" w:ascii="仿宋" w:hAnsi="仿宋" w:eastAsia="仿宋" w:cs="仿宋"/>
          <w:color w:val="FF0000"/>
          <w:sz w:val="32"/>
          <w:szCs w:val="32"/>
          <w:u w:val="none"/>
        </w:rPr>
      </w:pPr>
      <w:r>
        <w:rPr>
          <w:rFonts w:hint="eastAsia" w:ascii="仿宋" w:hAnsi="仿宋" w:eastAsia="仿宋" w:cs="仿宋"/>
          <w:sz w:val="32"/>
          <w:szCs w:val="32"/>
          <w:u w:val="none"/>
          <w:lang w:eastAsia="zh-CN"/>
        </w:rPr>
        <w:t>2025年度</w:t>
      </w:r>
      <w:r>
        <w:rPr>
          <w:rFonts w:hint="eastAsia" w:ascii="仿宋" w:hAnsi="仿宋" w:eastAsia="仿宋" w:cs="仿宋"/>
          <w:sz w:val="32"/>
          <w:szCs w:val="32"/>
          <w:u w:val="none"/>
        </w:rPr>
        <w:t>政府采购支出预算总额</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万元，其中：拟采购货物支出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万元、拟采购工程支出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万元、拟购买服务支出</w:t>
      </w:r>
      <w:r>
        <w:rPr>
          <w:rFonts w:hint="eastAsia" w:ascii="仿宋" w:hAnsi="仿宋" w:eastAsia="仿宋" w:cs="仿宋"/>
          <w:sz w:val="32"/>
          <w:szCs w:val="32"/>
          <w:u w:val="none"/>
          <w:lang w:val="en-US" w:eastAsia="zh-CN"/>
        </w:rPr>
        <w:t>0</w:t>
      </w:r>
      <w:r>
        <w:rPr>
          <w:rFonts w:hint="eastAsia" w:ascii="仿宋" w:hAnsi="仿宋" w:eastAsia="仿宋" w:cs="仿宋"/>
          <w:sz w:val="32"/>
          <w:szCs w:val="32"/>
          <w:u w:val="none"/>
        </w:rPr>
        <w:t>万元。</w:t>
      </w:r>
    </w:p>
    <w:p w14:paraId="1AAAC738">
      <w:pPr>
        <w:pageBreakBefore w:val="0"/>
        <w:numPr>
          <w:ilvl w:val="0"/>
          <w:numId w:val="0"/>
        </w:numPr>
        <w:pBdr>
          <w:bottom w:val="single" w:color="FFFFFF" w:sz="4" w:space="30"/>
        </w:pBdr>
        <w:kinsoku/>
        <w:wordWrap/>
        <w:overflowPunct/>
        <w:topLinePunct w:val="0"/>
        <w:bidi w:val="0"/>
        <w:snapToGrid w:val="0"/>
        <w:spacing w:line="600" w:lineRule="exact"/>
        <w:rPr>
          <w:rFonts w:hint="eastAsia" w:eastAsia="黑体" w:cs="黑体"/>
          <w:b w:val="0"/>
          <w:bCs w:val="0"/>
          <w:sz w:val="32"/>
          <w:szCs w:val="36"/>
          <w:u w:val="none"/>
        </w:rPr>
      </w:pPr>
      <w:r>
        <w:rPr>
          <w:rFonts w:hint="eastAsia" w:eastAsia="黑体" w:cs="黑体"/>
          <w:b w:val="0"/>
          <w:bCs w:val="0"/>
          <w:sz w:val="32"/>
          <w:szCs w:val="36"/>
          <w:u w:val="none"/>
          <w:lang w:val="en-US" w:eastAsia="zh-CN"/>
        </w:rPr>
        <w:t xml:space="preserve">    </w:t>
      </w:r>
      <w:r>
        <w:rPr>
          <w:rFonts w:hint="eastAsia" w:eastAsia="黑体" w:cs="黑体"/>
          <w:b w:val="0"/>
          <w:bCs w:val="0"/>
          <w:sz w:val="32"/>
          <w:szCs w:val="36"/>
          <w:u w:val="none"/>
          <w:lang w:eastAsia="zh-CN"/>
        </w:rPr>
        <w:t>十三、</w:t>
      </w:r>
      <w:r>
        <w:rPr>
          <w:rFonts w:hint="eastAsia" w:eastAsia="黑体" w:cs="黑体"/>
          <w:b w:val="0"/>
          <w:bCs w:val="0"/>
          <w:sz w:val="32"/>
          <w:szCs w:val="36"/>
          <w:u w:val="none"/>
        </w:rPr>
        <w:t>国有资产占用情况说明</w:t>
      </w:r>
    </w:p>
    <w:p w14:paraId="012E4EC6">
      <w:pPr>
        <w:pageBreakBefore w:val="0"/>
        <w:numPr>
          <w:ilvl w:val="0"/>
          <w:numId w:val="0"/>
        </w:numPr>
        <w:pBdr>
          <w:bottom w:val="single" w:color="FFFFFF" w:sz="4" w:space="30"/>
        </w:pBdr>
        <w:kinsoku/>
        <w:wordWrap/>
        <w:overflowPunct/>
        <w:topLinePunct w:val="0"/>
        <w:bidi w:val="0"/>
        <w:snapToGrid w:val="0"/>
        <w:spacing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highlight w:val="none"/>
          <w:u w:val="none"/>
        </w:rPr>
        <w:t>本</w:t>
      </w:r>
      <w:r>
        <w:rPr>
          <w:rFonts w:hint="eastAsia" w:ascii="仿宋" w:hAnsi="仿宋" w:eastAsia="仿宋" w:cs="仿宋"/>
          <w:sz w:val="32"/>
          <w:szCs w:val="32"/>
          <w:highlight w:val="none"/>
          <w:u w:val="none"/>
          <w:lang w:eastAsia="zh-CN"/>
        </w:rPr>
        <w:t>单位</w:t>
      </w:r>
      <w:r>
        <w:rPr>
          <w:rFonts w:hint="eastAsia" w:ascii="仿宋" w:hAnsi="仿宋" w:eastAsia="仿宋" w:cs="仿宋"/>
          <w:sz w:val="32"/>
          <w:szCs w:val="32"/>
          <w:highlight w:val="none"/>
          <w:u w:val="none"/>
        </w:rPr>
        <w:t>共有车辆</w:t>
      </w:r>
      <w:r>
        <w:rPr>
          <w:rFonts w:hint="eastAsia" w:ascii="仿宋" w:hAnsi="仿宋" w:eastAsia="仿宋" w:cs="仿宋"/>
          <w:spacing w:val="1"/>
          <w:sz w:val="32"/>
          <w:szCs w:val="32"/>
          <w:highlight w:val="none"/>
          <w:u w:val="none"/>
        </w:rPr>
        <w:t>1</w:t>
      </w:r>
      <w:r>
        <w:rPr>
          <w:rFonts w:hint="eastAsia" w:ascii="仿宋" w:hAnsi="仿宋" w:eastAsia="仿宋" w:cs="仿宋"/>
          <w:spacing w:val="1"/>
          <w:sz w:val="32"/>
          <w:szCs w:val="32"/>
          <w:highlight w:val="none"/>
          <w:u w:val="none"/>
          <w:lang w:val="en-US" w:eastAsia="zh-CN"/>
        </w:rPr>
        <w:t>5</w:t>
      </w:r>
      <w:r>
        <w:rPr>
          <w:rFonts w:hint="eastAsia" w:ascii="仿宋" w:hAnsi="仿宋" w:eastAsia="仿宋" w:cs="仿宋"/>
          <w:sz w:val="32"/>
          <w:szCs w:val="32"/>
          <w:highlight w:val="none"/>
          <w:u w:val="none"/>
        </w:rPr>
        <w:t>辆，其中，一般公务用车</w:t>
      </w:r>
      <w:r>
        <w:rPr>
          <w:rFonts w:hint="eastAsia" w:ascii="仿宋" w:hAnsi="仿宋" w:eastAsia="仿宋" w:cs="仿宋"/>
          <w:sz w:val="32"/>
          <w:szCs w:val="32"/>
          <w:highlight w:val="none"/>
          <w:u w:val="none"/>
          <w:lang w:val="en-US" w:eastAsia="zh-CN"/>
        </w:rPr>
        <w:t>0</w:t>
      </w:r>
      <w:r>
        <w:rPr>
          <w:rFonts w:hint="eastAsia" w:ascii="仿宋" w:hAnsi="仿宋" w:eastAsia="仿宋" w:cs="仿宋"/>
          <w:sz w:val="32"/>
          <w:szCs w:val="32"/>
          <w:highlight w:val="none"/>
          <w:u w:val="none"/>
        </w:rPr>
        <w:t>辆、执法执勤用车</w:t>
      </w:r>
      <w:r>
        <w:rPr>
          <w:rFonts w:hint="eastAsia" w:ascii="仿宋" w:hAnsi="仿宋" w:eastAsia="仿宋" w:cs="仿宋"/>
          <w:sz w:val="32"/>
          <w:szCs w:val="32"/>
          <w:highlight w:val="none"/>
          <w:u w:val="none"/>
          <w:lang w:val="en-US" w:eastAsia="zh-CN"/>
        </w:rPr>
        <w:t>0</w:t>
      </w:r>
      <w:r>
        <w:rPr>
          <w:rFonts w:hint="eastAsia" w:ascii="仿宋" w:hAnsi="仿宋" w:eastAsia="仿宋" w:cs="仿宋"/>
          <w:sz w:val="32"/>
          <w:szCs w:val="32"/>
          <w:highlight w:val="none"/>
          <w:u w:val="none"/>
        </w:rPr>
        <w:t>辆、特种专业技术用车</w:t>
      </w:r>
      <w:r>
        <w:rPr>
          <w:rFonts w:hint="eastAsia" w:ascii="仿宋" w:hAnsi="仿宋" w:eastAsia="仿宋" w:cs="仿宋"/>
          <w:sz w:val="32"/>
          <w:szCs w:val="32"/>
          <w:highlight w:val="none"/>
          <w:u w:val="none"/>
          <w:lang w:val="en-US" w:eastAsia="zh-CN"/>
        </w:rPr>
        <w:t>13</w:t>
      </w:r>
      <w:r>
        <w:rPr>
          <w:rFonts w:hint="eastAsia" w:ascii="仿宋" w:hAnsi="仿宋" w:eastAsia="仿宋" w:cs="仿宋"/>
          <w:sz w:val="32"/>
          <w:szCs w:val="32"/>
          <w:highlight w:val="none"/>
          <w:u w:val="none"/>
        </w:rPr>
        <w:t>辆、业务用车</w:t>
      </w:r>
      <w:r>
        <w:rPr>
          <w:rFonts w:hint="eastAsia" w:ascii="仿宋" w:hAnsi="仿宋" w:eastAsia="仿宋" w:cs="仿宋"/>
          <w:sz w:val="32"/>
          <w:szCs w:val="32"/>
          <w:highlight w:val="none"/>
          <w:u w:val="none"/>
          <w:lang w:val="en-US" w:eastAsia="zh-CN"/>
        </w:rPr>
        <w:t>0</w:t>
      </w:r>
      <w:r>
        <w:rPr>
          <w:rFonts w:hint="eastAsia" w:ascii="仿宋" w:hAnsi="仿宋" w:eastAsia="仿宋" w:cs="仿宋"/>
          <w:sz w:val="32"/>
          <w:szCs w:val="32"/>
          <w:highlight w:val="none"/>
          <w:u w:val="none"/>
        </w:rPr>
        <w:t>辆、其他用车</w:t>
      </w:r>
      <w:r>
        <w:rPr>
          <w:rFonts w:hint="eastAsia" w:ascii="仿宋" w:hAnsi="仿宋" w:eastAsia="仿宋" w:cs="仿宋"/>
          <w:sz w:val="32"/>
          <w:szCs w:val="32"/>
          <w:highlight w:val="none"/>
          <w:u w:val="none"/>
          <w:lang w:val="en-US" w:eastAsia="zh-CN"/>
        </w:rPr>
        <w:t>2</w:t>
      </w:r>
      <w:r>
        <w:rPr>
          <w:rFonts w:hint="eastAsia" w:ascii="仿宋" w:hAnsi="仿宋" w:eastAsia="仿宋" w:cs="仿宋"/>
          <w:sz w:val="32"/>
          <w:szCs w:val="32"/>
          <w:highlight w:val="none"/>
          <w:u w:val="none"/>
        </w:rPr>
        <w:t>辆等。</w:t>
      </w:r>
      <w:r>
        <w:rPr>
          <w:rFonts w:hint="eastAsia" w:ascii="仿宋" w:hAnsi="仿宋" w:eastAsia="仿宋" w:cs="仿宋"/>
          <w:sz w:val="32"/>
          <w:szCs w:val="32"/>
          <w:u w:val="none"/>
        </w:rPr>
        <w:t>单价50万元（含）以上的通用设备</w:t>
      </w:r>
      <w:r>
        <w:rPr>
          <w:rFonts w:hint="eastAsia" w:ascii="仿宋" w:hAnsi="仿宋" w:eastAsia="仿宋" w:cs="仿宋"/>
          <w:sz w:val="32"/>
          <w:szCs w:val="32"/>
          <w:u w:val="none"/>
          <w:lang w:val="en-US" w:eastAsia="zh-CN"/>
        </w:rPr>
        <w:t>117</w:t>
      </w:r>
      <w:r>
        <w:rPr>
          <w:rFonts w:hint="eastAsia" w:ascii="仿宋" w:hAnsi="仿宋" w:eastAsia="仿宋" w:cs="仿宋"/>
          <w:sz w:val="32"/>
          <w:szCs w:val="32"/>
          <w:u w:val="none"/>
        </w:rPr>
        <w:t>台（套），单价100万元（含）以上的专用设备</w:t>
      </w:r>
      <w:r>
        <w:rPr>
          <w:rFonts w:hint="eastAsia" w:ascii="仿宋" w:hAnsi="仿宋" w:eastAsia="仿宋" w:cs="仿宋"/>
          <w:sz w:val="32"/>
          <w:szCs w:val="32"/>
          <w:u w:val="none"/>
          <w:lang w:val="en-US" w:eastAsia="zh-CN"/>
        </w:rPr>
        <w:t>59</w:t>
      </w:r>
      <w:r>
        <w:rPr>
          <w:rFonts w:hint="eastAsia" w:ascii="仿宋" w:hAnsi="仿宋" w:eastAsia="仿宋" w:cs="仿宋"/>
          <w:sz w:val="32"/>
          <w:szCs w:val="32"/>
          <w:u w:val="none"/>
        </w:rPr>
        <w:t>台（套）。</w:t>
      </w:r>
    </w:p>
    <w:p w14:paraId="57449E4B">
      <w:pPr>
        <w:pageBreakBefore w:val="0"/>
        <w:numPr>
          <w:ilvl w:val="0"/>
          <w:numId w:val="0"/>
        </w:numPr>
        <w:pBdr>
          <w:bottom w:val="single" w:color="FFFFFF" w:sz="4" w:space="30"/>
        </w:pBdr>
        <w:kinsoku/>
        <w:wordWrap/>
        <w:overflowPunct/>
        <w:topLinePunct w:val="0"/>
        <w:bidi w:val="0"/>
        <w:snapToGrid w:val="0"/>
        <w:spacing w:line="600" w:lineRule="exact"/>
        <w:rPr>
          <w:rFonts w:eastAsia="仿宋_GB2312" w:cstheme="minorBidi"/>
          <w:sz w:val="32"/>
          <w:szCs w:val="32"/>
          <w:u w:val="none"/>
        </w:rPr>
      </w:pPr>
      <w:r>
        <w:rPr>
          <w:rFonts w:hint="eastAsia" w:eastAsia="黑体" w:cs="黑体"/>
          <w:b w:val="0"/>
          <w:bCs w:val="0"/>
          <w:sz w:val="32"/>
          <w:szCs w:val="36"/>
          <w:u w:val="none"/>
          <w:lang w:val="en-US" w:eastAsia="zh-CN"/>
        </w:rPr>
        <w:t xml:space="preserve">    </w:t>
      </w:r>
      <w:r>
        <w:rPr>
          <w:rFonts w:hint="eastAsia" w:eastAsia="黑体" w:cs="黑体"/>
          <w:b w:val="0"/>
          <w:bCs w:val="0"/>
          <w:sz w:val="32"/>
          <w:szCs w:val="36"/>
          <w:u w:val="none"/>
          <w:lang w:eastAsia="zh-CN"/>
        </w:rPr>
        <w:t>十四、</w:t>
      </w:r>
      <w:r>
        <w:rPr>
          <w:rFonts w:hint="eastAsia" w:eastAsia="黑体" w:cs="黑体"/>
          <w:b w:val="0"/>
          <w:bCs w:val="0"/>
          <w:sz w:val="32"/>
          <w:szCs w:val="36"/>
          <w:u w:val="none"/>
        </w:rPr>
        <w:t>项目绩效目标情况说明</w:t>
      </w:r>
      <w:r>
        <w:rPr>
          <w:rFonts w:hint="eastAsia" w:eastAsia="黑体" w:cs="黑体"/>
          <w:b/>
          <w:bCs/>
          <w:sz w:val="32"/>
          <w:szCs w:val="36"/>
          <w:u w:val="none"/>
        </w:rPr>
        <w:t xml:space="preserve"> </w:t>
      </w:r>
    </w:p>
    <w:p w14:paraId="3E78933E">
      <w:pPr>
        <w:pageBreakBefore w:val="0"/>
        <w:numPr>
          <w:ilvl w:val="0"/>
          <w:numId w:val="0"/>
        </w:numPr>
        <w:pBdr>
          <w:bottom w:val="single" w:color="FFFFFF" w:sz="4" w:space="30"/>
        </w:pBdr>
        <w:kinsoku/>
        <w:wordWrap/>
        <w:overflowPunct/>
        <w:topLinePunct w:val="0"/>
        <w:bidi w:val="0"/>
        <w:snapToGrid w:val="0"/>
        <w:spacing w:line="600" w:lineRule="exact"/>
        <w:rPr>
          <w:rFonts w:hint="eastAsia" w:ascii="仿宋" w:hAnsi="仿宋" w:eastAsia="仿宋" w:cs="仿宋"/>
          <w:sz w:val="36"/>
          <w:szCs w:val="36"/>
          <w:u w:val="none"/>
        </w:rPr>
      </w:pPr>
      <w:r>
        <w:rPr>
          <w:rFonts w:hint="eastAsia" w:ascii="仿宋" w:hAnsi="仿宋" w:eastAsia="仿宋" w:cs="仿宋"/>
          <w:b/>
          <w:bCs/>
          <w:sz w:val="32"/>
          <w:szCs w:val="36"/>
          <w:u w:val="none"/>
          <w:lang w:val="en-US" w:eastAsia="zh-CN"/>
        </w:rPr>
        <w:t xml:space="preserve">    </w:t>
      </w:r>
      <w:r>
        <w:rPr>
          <w:rFonts w:hint="eastAsia" w:ascii="仿宋" w:hAnsi="仿宋" w:eastAsia="仿宋" w:cs="仿宋"/>
          <w:sz w:val="32"/>
          <w:szCs w:val="32"/>
          <w:u w:val="none"/>
          <w:lang w:eastAsia="zh-CN"/>
        </w:rPr>
        <w:t>2025年</w:t>
      </w:r>
      <w:r>
        <w:rPr>
          <w:rFonts w:hint="eastAsia" w:ascii="仿宋" w:hAnsi="仿宋" w:eastAsia="仿宋" w:cs="仿宋"/>
          <w:sz w:val="32"/>
          <w:szCs w:val="32"/>
          <w:u w:val="none"/>
        </w:rPr>
        <w:t>，填报绩效目标的预算项目</w:t>
      </w:r>
      <w:r>
        <w:rPr>
          <w:rFonts w:hint="eastAsia" w:ascii="仿宋" w:hAnsi="仿宋" w:eastAsia="仿宋" w:cs="仿宋"/>
          <w:sz w:val="32"/>
          <w:szCs w:val="32"/>
          <w:u w:val="none"/>
          <w:lang w:val="en-US" w:eastAsia="zh-CN"/>
        </w:rPr>
        <w:t>1</w:t>
      </w:r>
      <w:r>
        <w:rPr>
          <w:rFonts w:hint="eastAsia" w:ascii="仿宋" w:hAnsi="仿宋" w:eastAsia="仿宋" w:cs="仿宋"/>
          <w:sz w:val="32"/>
          <w:szCs w:val="32"/>
          <w:u w:val="none"/>
        </w:rPr>
        <w:t>个，公开绩效目标</w:t>
      </w:r>
      <w:r>
        <w:rPr>
          <w:rFonts w:hint="eastAsia" w:ascii="仿宋" w:hAnsi="仿宋" w:eastAsia="仿宋" w:cs="仿宋"/>
          <w:sz w:val="32"/>
          <w:szCs w:val="32"/>
          <w:u w:val="none"/>
          <w:lang w:val="en-US" w:eastAsia="zh-CN"/>
        </w:rPr>
        <w:t>1</w:t>
      </w:r>
      <w:r>
        <w:rPr>
          <w:rFonts w:hint="eastAsia" w:ascii="仿宋" w:hAnsi="仿宋" w:eastAsia="仿宋" w:cs="仿宋"/>
          <w:sz w:val="32"/>
          <w:szCs w:val="32"/>
          <w:u w:val="none"/>
        </w:rPr>
        <w:t>个，公开项目占</w:t>
      </w:r>
      <w:r>
        <w:rPr>
          <w:rFonts w:hint="eastAsia" w:ascii="仿宋" w:hAnsi="仿宋" w:eastAsia="仿宋" w:cs="仿宋"/>
          <w:sz w:val="32"/>
          <w:szCs w:val="32"/>
          <w:u w:val="none"/>
          <w:lang w:eastAsia="zh-CN"/>
        </w:rPr>
        <w:t>本年</w:t>
      </w:r>
      <w:r>
        <w:rPr>
          <w:rFonts w:hint="eastAsia" w:ascii="仿宋" w:hAnsi="仿宋" w:eastAsia="仿宋" w:cs="仿宋"/>
          <w:sz w:val="32"/>
          <w:szCs w:val="32"/>
          <w:u w:val="none"/>
        </w:rPr>
        <w:t>预算项目的100 %。公开填报绩效目标的项目预算14</w:t>
      </w:r>
      <w:r>
        <w:rPr>
          <w:rFonts w:hint="eastAsia" w:ascii="仿宋" w:hAnsi="仿宋" w:eastAsia="仿宋" w:cs="仿宋"/>
          <w:sz w:val="32"/>
          <w:szCs w:val="32"/>
          <w:u w:val="none"/>
          <w:lang w:val="en-US" w:eastAsia="zh-CN"/>
        </w:rPr>
        <w:t>,</w:t>
      </w:r>
      <w:r>
        <w:rPr>
          <w:rFonts w:hint="eastAsia" w:ascii="仿宋" w:hAnsi="仿宋" w:eastAsia="仿宋" w:cs="仿宋"/>
          <w:sz w:val="32"/>
          <w:szCs w:val="32"/>
          <w:u w:val="none"/>
        </w:rPr>
        <w:t>650.21万元，占</w:t>
      </w:r>
      <w:r>
        <w:rPr>
          <w:rFonts w:hint="eastAsia" w:ascii="仿宋" w:hAnsi="仿宋" w:eastAsia="仿宋" w:cs="仿宋"/>
          <w:sz w:val="32"/>
          <w:szCs w:val="32"/>
          <w:u w:val="none"/>
          <w:lang w:eastAsia="zh-CN"/>
        </w:rPr>
        <w:t>本年</w:t>
      </w:r>
      <w:r>
        <w:rPr>
          <w:rFonts w:hint="eastAsia" w:ascii="仿宋" w:hAnsi="仿宋" w:eastAsia="仿宋" w:cs="仿宋"/>
          <w:sz w:val="32"/>
          <w:szCs w:val="32"/>
          <w:u w:val="none"/>
        </w:rPr>
        <w:t>项目预算的100%。</w:t>
      </w:r>
    </w:p>
    <w:p w14:paraId="120EB26F">
      <w:pPr>
        <w:pStyle w:val="7"/>
        <w:pageBreakBefore w:val="0"/>
        <w:tabs>
          <w:tab w:val="left" w:pos="4392"/>
        </w:tabs>
        <w:kinsoku/>
        <w:wordWrap/>
        <w:overflowPunct/>
        <w:topLinePunct w:val="0"/>
        <w:bidi w:val="0"/>
        <w:spacing w:before="0" w:after="0" w:line="600" w:lineRule="exact"/>
        <w:ind w:firstLine="720" w:firstLineChars="200"/>
        <w:jc w:val="center"/>
        <w:rPr>
          <w:rFonts w:hint="eastAsia" w:ascii="方正小标宋简体" w:hAnsi="方正小标宋简体" w:eastAsia="方正小标宋简体" w:cs="方正小标宋简体"/>
          <w:b w:val="0"/>
          <w:bCs w:val="0"/>
          <w:sz w:val="36"/>
          <w:szCs w:val="36"/>
          <w:u w:val="none"/>
        </w:rPr>
      </w:pPr>
      <w:r>
        <w:rPr>
          <w:rFonts w:hint="eastAsia" w:ascii="方正小标宋简体" w:hAnsi="方正小标宋简体" w:eastAsia="方正小标宋简体" w:cs="方正小标宋简体"/>
          <w:b w:val="0"/>
          <w:bCs w:val="0"/>
          <w:sz w:val="36"/>
          <w:szCs w:val="36"/>
          <w:u w:val="none"/>
        </w:rPr>
        <w:t>第三部分   名词解释</w:t>
      </w:r>
    </w:p>
    <w:p w14:paraId="2F37317C">
      <w:pPr>
        <w:rPr>
          <w:sz w:val="36"/>
          <w:szCs w:val="36"/>
          <w:u w:val="none"/>
        </w:rPr>
      </w:pPr>
    </w:p>
    <w:p w14:paraId="327B1303">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3" w:firstLineChars="200"/>
        <w:textAlignment w:val="auto"/>
        <w:rPr>
          <w:rFonts w:hint="default" w:ascii="仿宋" w:hAnsi="仿宋" w:eastAsia="仿宋" w:cs="仿宋"/>
          <w:kern w:val="2"/>
          <w:sz w:val="32"/>
          <w:szCs w:val="32"/>
          <w:lang w:val="en-US" w:eastAsia="zh-CN" w:bidi="ar-SA"/>
        </w:rPr>
      </w:pPr>
      <w:r>
        <w:rPr>
          <w:rFonts w:hint="eastAsia" w:ascii="仿宋" w:hAnsi="仿宋" w:eastAsia="仿宋" w:cs="仿宋"/>
          <w:b/>
          <w:bCs/>
          <w:sz w:val="32"/>
          <w:szCs w:val="32"/>
          <w:u w:val="none"/>
          <w:lang w:val="en-US" w:eastAsia="zh-CN"/>
        </w:rPr>
        <w:t>一、财政拨款：</w:t>
      </w:r>
      <w:r>
        <w:rPr>
          <w:rFonts w:hint="eastAsia" w:ascii="仿宋" w:hAnsi="仿宋" w:eastAsia="仿宋" w:cs="仿宋"/>
          <w:kern w:val="2"/>
          <w:sz w:val="32"/>
          <w:szCs w:val="32"/>
          <w:lang w:val="en-US" w:eastAsia="zh-CN" w:bidi="ar-SA"/>
        </w:rPr>
        <w:t xml:space="preserve">单位从同级财政部门取得的各类财政拨款，包括 </w:t>
      </w:r>
    </w:p>
    <w:p w14:paraId="5F8AD8D5">
      <w:pPr>
        <w:pageBreakBefore w:val="0"/>
        <w:widowControl w:val="0"/>
        <w:numPr>
          <w:ilvl w:val="0"/>
          <w:numId w:val="0"/>
        </w:numPr>
        <w:pBdr>
          <w:bottom w:val="single" w:color="FFFFFF" w:sz="4" w:space="30"/>
        </w:pBdr>
        <w:kinsoku/>
        <w:wordWrap/>
        <w:overflowPunct/>
        <w:topLinePunct w:val="0"/>
        <w:bidi w:val="0"/>
        <w:snapToGrid w:val="0"/>
        <w:spacing w:line="560" w:lineRule="exact"/>
        <w:textAlignment w:val="auto"/>
        <w:rPr>
          <w:rFonts w:hint="default" w:ascii="Times New Roman" w:hAnsi="Times New Roman" w:eastAsia="仿宋_GB2312" w:cs="Times New Roman"/>
          <w:sz w:val="32"/>
          <w:szCs w:val="32"/>
          <w:u w:val="none"/>
        </w:rPr>
      </w:pPr>
      <w:r>
        <w:rPr>
          <w:rFonts w:hint="eastAsia" w:ascii="仿宋" w:hAnsi="仿宋" w:eastAsia="仿宋" w:cs="仿宋"/>
          <w:kern w:val="2"/>
          <w:sz w:val="32"/>
          <w:szCs w:val="32"/>
          <w:lang w:val="en-US" w:eastAsia="zh-CN" w:bidi="ar-SA"/>
        </w:rPr>
        <w:t>一般公共预算拨款、政府性基金预算拨款、国有资本经营预算拨款。</w:t>
      </w:r>
      <w:r>
        <w:rPr>
          <w:rFonts w:hint="eastAsia" w:ascii="Times New Roman" w:hAnsi="Times New Roman" w:eastAsia="仿宋_GB2312" w:cs="Times New Roman"/>
          <w:sz w:val="32"/>
          <w:szCs w:val="32"/>
          <w:u w:val="none"/>
          <w:lang w:val="en-US" w:eastAsia="zh-CN"/>
        </w:rPr>
        <w:t xml:space="preserve"> </w:t>
      </w:r>
    </w:p>
    <w:p w14:paraId="5E82F163">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3"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b/>
          <w:bCs/>
          <w:sz w:val="32"/>
          <w:szCs w:val="32"/>
          <w:u w:val="none"/>
          <w:lang w:val="en-US" w:eastAsia="zh-CN"/>
        </w:rPr>
        <w:t>二、一般公共预算拨款收入：</w:t>
      </w:r>
      <w:r>
        <w:rPr>
          <w:rFonts w:hint="eastAsia" w:ascii="仿宋" w:hAnsi="仿宋" w:eastAsia="仿宋" w:cs="仿宋"/>
          <w:kern w:val="2"/>
          <w:sz w:val="32"/>
          <w:szCs w:val="32"/>
          <w:lang w:val="en-US" w:eastAsia="zh-CN" w:bidi="ar-SA"/>
        </w:rPr>
        <w:t xml:space="preserve">指市级财政当年拨付的资金。 </w:t>
      </w:r>
    </w:p>
    <w:p w14:paraId="24214B78">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3"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b/>
          <w:bCs/>
          <w:sz w:val="32"/>
          <w:szCs w:val="32"/>
          <w:u w:val="none"/>
          <w:lang w:val="en-US" w:eastAsia="zh-CN"/>
        </w:rPr>
        <w:t>三、单位资金：</w:t>
      </w:r>
      <w:r>
        <w:rPr>
          <w:rFonts w:hint="eastAsia" w:ascii="仿宋" w:hAnsi="仿宋" w:eastAsia="仿宋" w:cs="仿宋"/>
          <w:kern w:val="2"/>
          <w:sz w:val="32"/>
          <w:szCs w:val="32"/>
          <w:lang w:val="en-US" w:eastAsia="zh-CN" w:bidi="ar-SA"/>
        </w:rPr>
        <w:t xml:space="preserve">除财政拨款收入和财政专户管理资金以外的收入，包括事业收入（不含教育收费）、上级补助收入、附属单位上缴收入、 </w:t>
      </w:r>
    </w:p>
    <w:p w14:paraId="55DF3B62">
      <w:pPr>
        <w:pageBreakBefore w:val="0"/>
        <w:widowControl w:val="0"/>
        <w:numPr>
          <w:ilvl w:val="0"/>
          <w:numId w:val="0"/>
        </w:numPr>
        <w:pBdr>
          <w:bottom w:val="single" w:color="FFFFFF" w:sz="4" w:space="30"/>
        </w:pBdr>
        <w:kinsoku/>
        <w:wordWrap/>
        <w:overflowPunct/>
        <w:topLinePunct w:val="0"/>
        <w:bidi w:val="0"/>
        <w:snapToGrid w:val="0"/>
        <w:spacing w:line="560" w:lineRule="exact"/>
        <w:textAlignment w:val="auto"/>
        <w:rPr>
          <w:rFonts w:hint="default" w:ascii="Times New Roman" w:hAnsi="Times New Roman" w:eastAsia="仿宋_GB2312" w:cs="Times New Roman"/>
          <w:sz w:val="32"/>
          <w:szCs w:val="32"/>
          <w:u w:val="none"/>
        </w:rPr>
      </w:pPr>
      <w:r>
        <w:rPr>
          <w:rFonts w:hint="eastAsia" w:ascii="仿宋" w:hAnsi="仿宋" w:eastAsia="仿宋" w:cs="仿宋"/>
          <w:kern w:val="2"/>
          <w:sz w:val="32"/>
          <w:szCs w:val="32"/>
          <w:lang w:val="en-US" w:eastAsia="zh-CN" w:bidi="ar-SA"/>
        </w:rPr>
        <w:t>事业单位经营收入及其他收入（包含债务收入、投资收益等）。</w:t>
      </w:r>
      <w:r>
        <w:rPr>
          <w:rFonts w:hint="eastAsia" w:ascii="Times New Roman" w:hAnsi="Times New Roman" w:eastAsia="仿宋_GB2312" w:cs="Times New Roman"/>
          <w:sz w:val="32"/>
          <w:szCs w:val="32"/>
          <w:u w:val="none"/>
          <w:lang w:val="en-US" w:eastAsia="zh-CN"/>
        </w:rPr>
        <w:t xml:space="preserve"> </w:t>
      </w:r>
    </w:p>
    <w:p w14:paraId="269DAD4B">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3"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b/>
          <w:bCs/>
          <w:sz w:val="32"/>
          <w:szCs w:val="32"/>
          <w:u w:val="none"/>
          <w:lang w:val="en-US" w:eastAsia="zh-CN"/>
        </w:rPr>
        <w:t>四、基本支出：</w:t>
      </w:r>
      <w:r>
        <w:rPr>
          <w:rFonts w:hint="eastAsia" w:ascii="仿宋" w:hAnsi="仿宋" w:eastAsia="仿宋" w:cs="仿宋"/>
          <w:kern w:val="2"/>
          <w:sz w:val="32"/>
          <w:szCs w:val="32"/>
          <w:lang w:val="en-US" w:eastAsia="zh-CN" w:bidi="ar-SA"/>
        </w:rPr>
        <w:t xml:space="preserve">指为保障机构正常运转、完成工作任务而发生的人员支出和公用支出。 </w:t>
      </w:r>
    </w:p>
    <w:p w14:paraId="601DBB6D">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3" w:firstLineChars="200"/>
        <w:textAlignment w:val="auto"/>
        <w:rPr>
          <w:rFonts w:hint="default" w:ascii="仿宋" w:hAnsi="仿宋" w:eastAsia="仿宋" w:cs="仿宋"/>
          <w:kern w:val="2"/>
          <w:sz w:val="32"/>
          <w:szCs w:val="32"/>
          <w:lang w:val="en-US" w:eastAsia="zh-CN" w:bidi="ar-SA"/>
        </w:rPr>
      </w:pPr>
      <w:r>
        <w:rPr>
          <w:rFonts w:hint="eastAsia" w:ascii="仿宋" w:hAnsi="仿宋" w:eastAsia="仿宋" w:cs="仿宋"/>
          <w:b/>
          <w:bCs/>
          <w:sz w:val="32"/>
          <w:szCs w:val="32"/>
          <w:u w:val="none"/>
          <w:lang w:val="en-US" w:eastAsia="zh-CN"/>
        </w:rPr>
        <w:t>五</w:t>
      </w:r>
      <w:r>
        <w:rPr>
          <w:rFonts w:hint="default" w:ascii="仿宋" w:hAnsi="仿宋" w:eastAsia="仿宋" w:cs="仿宋"/>
          <w:b/>
          <w:bCs/>
          <w:sz w:val="32"/>
          <w:szCs w:val="32"/>
          <w:u w:val="none"/>
          <w:lang w:val="en-US" w:eastAsia="zh-CN"/>
        </w:rPr>
        <w:t>、项目支出：</w:t>
      </w:r>
      <w:r>
        <w:rPr>
          <w:rFonts w:hint="eastAsia" w:ascii="仿宋" w:hAnsi="仿宋" w:eastAsia="仿宋" w:cs="仿宋"/>
          <w:kern w:val="2"/>
          <w:sz w:val="32"/>
          <w:szCs w:val="32"/>
          <w:lang w:val="en-US" w:eastAsia="zh-CN" w:bidi="ar-SA"/>
        </w:rPr>
        <w:t xml:space="preserve">指在基本支出之外为完成特定工作任务和事业发展目标所发生的支出。 </w:t>
      </w:r>
    </w:p>
    <w:p w14:paraId="10D6C373">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3"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b/>
          <w:bCs/>
          <w:sz w:val="32"/>
          <w:szCs w:val="32"/>
          <w:u w:val="none"/>
          <w:lang w:val="en-US" w:eastAsia="zh-CN"/>
        </w:rPr>
        <w:t>六、对个人和家庭的补助：</w:t>
      </w:r>
      <w:r>
        <w:rPr>
          <w:rFonts w:hint="eastAsia" w:ascii="仿宋" w:hAnsi="仿宋" w:eastAsia="仿宋" w:cs="仿宋"/>
          <w:kern w:val="2"/>
          <w:sz w:val="32"/>
          <w:szCs w:val="32"/>
          <w:lang w:val="en-US" w:eastAsia="zh-CN" w:bidi="ar-SA"/>
        </w:rPr>
        <w:t xml:space="preserve">是指政府用于对个人和家庭的补助支出。 </w:t>
      </w:r>
    </w:p>
    <w:p w14:paraId="2DDC7B4F">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3"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b/>
          <w:bCs/>
          <w:sz w:val="32"/>
          <w:szCs w:val="32"/>
          <w:u w:val="none"/>
          <w:lang w:val="en-US" w:eastAsia="zh-CN"/>
        </w:rPr>
        <w:t>七、“三公”经费：</w:t>
      </w:r>
      <w:r>
        <w:rPr>
          <w:rFonts w:hint="eastAsia" w:ascii="仿宋" w:hAnsi="仿宋" w:eastAsia="仿宋" w:cs="仿宋"/>
          <w:kern w:val="2"/>
          <w:sz w:val="32"/>
          <w:szCs w:val="32"/>
          <w:lang w:val="en-US" w:eastAsia="zh-CN" w:bidi="ar-SA"/>
        </w:rPr>
        <w:t xml:space="preserve">纳入财政预决算管理的“三公”经费，是指通过财政拨款资金安排的因公出国（境）费、公务用车购置及运行费和公务接待费。其中，因公出国（境）费指单位工作人员公务出国（境） </w:t>
      </w:r>
    </w:p>
    <w:p w14:paraId="47EECD87">
      <w:pPr>
        <w:pageBreakBefore w:val="0"/>
        <w:widowControl w:val="0"/>
        <w:numPr>
          <w:ilvl w:val="0"/>
          <w:numId w:val="0"/>
        </w:numPr>
        <w:pBdr>
          <w:bottom w:val="single" w:color="FFFFFF" w:sz="4" w:space="30"/>
        </w:pBdr>
        <w:kinsoku/>
        <w:wordWrap/>
        <w:overflowPunct/>
        <w:topLinePunct w:val="0"/>
        <w:bidi w:val="0"/>
        <w:snapToGrid w:val="0"/>
        <w:spacing w:line="560" w:lineRule="exact"/>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的住宿费、旅费、伙食补助费、杂费、培训费等支出；公务用车购置 </w:t>
      </w:r>
    </w:p>
    <w:p w14:paraId="55F95ED6">
      <w:pPr>
        <w:pageBreakBefore w:val="0"/>
        <w:widowControl w:val="0"/>
        <w:numPr>
          <w:ilvl w:val="0"/>
          <w:numId w:val="0"/>
        </w:numPr>
        <w:pBdr>
          <w:bottom w:val="single" w:color="FFFFFF" w:sz="4" w:space="30"/>
        </w:pBdr>
        <w:kinsoku/>
        <w:wordWrap/>
        <w:overflowPunct/>
        <w:topLinePunct w:val="0"/>
        <w:bidi w:val="0"/>
        <w:snapToGrid w:val="0"/>
        <w:spacing w:line="560" w:lineRule="exact"/>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及运行费指单位公务用车购置费、租用费、燃料费、维修费、过路过 </w:t>
      </w:r>
    </w:p>
    <w:p w14:paraId="73BB6BBD">
      <w:pPr>
        <w:pageBreakBefore w:val="0"/>
        <w:widowControl w:val="0"/>
        <w:numPr>
          <w:ilvl w:val="0"/>
          <w:numId w:val="0"/>
        </w:numPr>
        <w:pBdr>
          <w:bottom w:val="single" w:color="FFFFFF" w:sz="4" w:space="30"/>
        </w:pBdr>
        <w:kinsoku/>
        <w:wordWrap/>
        <w:overflowPunct/>
        <w:topLinePunct w:val="0"/>
        <w:bidi w:val="0"/>
        <w:snapToGrid w:val="0"/>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桥费、保险费等支出；公务接待费指单位按规定开支的各类公务接待 （含外宾接待）支出。</w:t>
      </w:r>
    </w:p>
    <w:p w14:paraId="735131EA">
      <w:pPr>
        <w:pageBreakBefore w:val="0"/>
        <w:kinsoku/>
        <w:wordWrap/>
        <w:overflowPunct/>
        <w:topLinePunct w:val="0"/>
        <w:bidi w:val="0"/>
        <w:spacing w:line="600" w:lineRule="exact"/>
        <w:jc w:val="center"/>
        <w:rPr>
          <w:rFonts w:ascii="方正小标宋简体" w:hAnsi="方正小标宋简体" w:eastAsia="方正小标宋简体" w:cs="方正小标宋简体"/>
          <w:b w:val="0"/>
          <w:bCs w:val="0"/>
          <w:sz w:val="36"/>
          <w:szCs w:val="36"/>
          <w:u w:val="none"/>
        </w:rPr>
      </w:pPr>
      <w:r>
        <w:rPr>
          <w:rFonts w:hint="eastAsia" w:ascii="方正小标宋简体" w:hAnsi="方正小标宋简体" w:eastAsia="方正小标宋简体" w:cs="方正小标宋简体"/>
          <w:b w:val="0"/>
          <w:bCs w:val="0"/>
          <w:sz w:val="36"/>
          <w:szCs w:val="36"/>
          <w:u w:val="none"/>
        </w:rPr>
        <w:t>第四部分</w:t>
      </w:r>
      <w:r>
        <w:rPr>
          <w:rFonts w:hint="eastAsia" w:ascii="仿宋" w:hAnsi="仿宋" w:eastAsia="仿宋" w:cs="仿宋"/>
          <w:b w:val="0"/>
          <w:bCs w:val="0"/>
          <w:sz w:val="36"/>
          <w:szCs w:val="36"/>
          <w:u w:val="none"/>
        </w:rPr>
        <w:t xml:space="preserve"> </w:t>
      </w:r>
      <w:r>
        <w:rPr>
          <w:rFonts w:hint="eastAsia" w:ascii="方正小标宋简体" w:hAnsi="方正小标宋简体" w:eastAsia="方正小标宋简体" w:cs="方正小标宋简体"/>
          <w:b w:val="0"/>
          <w:bCs w:val="0"/>
          <w:sz w:val="36"/>
          <w:szCs w:val="36"/>
          <w:u w:val="none"/>
        </w:rPr>
        <w:t>预算公开联系方式及信息反馈渠道</w:t>
      </w:r>
    </w:p>
    <w:p w14:paraId="4C5D3AD2">
      <w:pPr>
        <w:pageBreakBefore w:val="0"/>
        <w:kinsoku/>
        <w:wordWrap/>
        <w:overflowPunct/>
        <w:topLinePunct w:val="0"/>
        <w:bidi w:val="0"/>
        <w:snapToGrid w:val="0"/>
        <w:spacing w:line="600" w:lineRule="exact"/>
        <w:rPr>
          <w:rFonts w:hint="eastAsia" w:ascii="方正小标宋简体" w:hAnsi="方正小标宋简体" w:eastAsia="方正小标宋简体" w:cs="方正小标宋简体"/>
          <w:sz w:val="36"/>
          <w:szCs w:val="36"/>
          <w:u w:val="none"/>
        </w:rPr>
      </w:pPr>
    </w:p>
    <w:p w14:paraId="61BE4685">
      <w:pPr>
        <w:pageBreakBefore w:val="0"/>
        <w:kinsoku/>
        <w:wordWrap/>
        <w:overflowPunct/>
        <w:topLinePunct w:val="0"/>
        <w:bidi w:val="0"/>
        <w:snapToGrid w:val="0"/>
        <w:spacing w:line="600" w:lineRule="exact"/>
        <w:ind w:firstLine="640" w:firstLineChars="200"/>
        <w:rPr>
          <w:rFonts w:hint="eastAsia" w:ascii="仿宋" w:hAnsi="仿宋" w:eastAsia="仿宋" w:cs="仿宋"/>
          <w:sz w:val="32"/>
          <w:szCs w:val="32"/>
          <w:u w:val="none"/>
        </w:rPr>
      </w:pPr>
      <w:r>
        <w:rPr>
          <w:rFonts w:hint="eastAsia" w:ascii="仿宋" w:hAnsi="仿宋" w:eastAsia="仿宋" w:cs="仿宋"/>
          <w:sz w:val="32"/>
          <w:szCs w:val="32"/>
          <w:u w:val="none"/>
        </w:rPr>
        <w:t>本单位预算公开信息反馈和联系方式：</w:t>
      </w:r>
    </w:p>
    <w:p w14:paraId="052FBFBA">
      <w:pPr>
        <w:pageBreakBefore w:val="0"/>
        <w:kinsoku/>
        <w:wordWrap/>
        <w:overflowPunct/>
        <w:topLinePunct w:val="0"/>
        <w:bidi w:val="0"/>
        <w:snapToGrid w:val="0"/>
        <w:spacing w:line="600" w:lineRule="exact"/>
        <w:ind w:firstLine="640" w:firstLineChars="200"/>
        <w:rPr>
          <w:rFonts w:eastAsia="仿宋_GB2312" w:cstheme="minorBidi"/>
          <w:sz w:val="30"/>
          <w:szCs w:val="30"/>
          <w:u w:val="none"/>
        </w:rPr>
      </w:pPr>
      <w:r>
        <w:rPr>
          <w:rFonts w:hint="eastAsia" w:ascii="仿宋" w:hAnsi="仿宋" w:eastAsia="仿宋" w:cs="仿宋"/>
          <w:sz w:val="32"/>
          <w:szCs w:val="32"/>
          <w:u w:val="none"/>
        </w:rPr>
        <w:t>联系人：</w:t>
      </w:r>
      <w:r>
        <w:rPr>
          <w:rFonts w:hint="eastAsia" w:ascii="仿宋" w:hAnsi="仿宋" w:eastAsia="仿宋" w:cs="仿宋"/>
          <w:sz w:val="32"/>
          <w:szCs w:val="32"/>
          <w:u w:val="none"/>
          <w:lang w:val="en-US" w:eastAsia="zh-CN"/>
        </w:rPr>
        <w:t>王毖琛</w:t>
      </w:r>
      <w:r>
        <w:rPr>
          <w:rFonts w:hint="eastAsia" w:ascii="仿宋" w:hAnsi="仿宋" w:eastAsia="仿宋" w:cs="仿宋"/>
          <w:sz w:val="32"/>
          <w:szCs w:val="32"/>
          <w:u w:val="none"/>
        </w:rPr>
        <w:t xml:space="preserve">               联系电话：</w:t>
      </w:r>
      <w:r>
        <w:rPr>
          <w:rFonts w:hint="eastAsia" w:ascii="仿宋" w:hAnsi="仿宋" w:eastAsia="仿宋" w:cs="仿宋"/>
          <w:sz w:val="32"/>
          <w:szCs w:val="32"/>
          <w:u w:val="none"/>
          <w:lang w:val="en-US" w:eastAsia="zh-CN"/>
        </w:rPr>
        <w:t>0472-6160240</w:t>
      </w:r>
    </w:p>
    <w:sectPr>
      <w:pgSz w:w="11910" w:h="16840"/>
      <w:pgMar w:top="1580" w:right="1080" w:bottom="280" w:left="1080" w:header="720" w:footer="720"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40E56D6-C9AD-46DB-8C95-8D20E3454EE2}"/>
  </w:font>
  <w:font w:name="黑体">
    <w:panose1 w:val="02010609060101010101"/>
    <w:charset w:val="86"/>
    <w:family w:val="auto"/>
    <w:pitch w:val="default"/>
    <w:sig w:usb0="800002BF" w:usb1="38CF7CFA" w:usb2="00000016" w:usb3="00000000" w:csb0="00040001" w:csb1="00000000"/>
    <w:embedRegular r:id="rId2" w:fontKey="{4E46ED2C-EBE3-431D-AF1B-54549DCF53C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3" w:fontKey="{EDB7D3B2-9009-43A0-B3EA-EA94D60F61E2}"/>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roman"/>
    <w:pitch w:val="default"/>
    <w:sig w:usb0="00000001" w:usb1="080E0000" w:usb2="00000000" w:usb3="00000000" w:csb0="00040000" w:csb1="00000000"/>
    <w:embedRegular r:id="rId4" w:fontKey="{0EAD3B88-D36A-45A8-8FFF-EC775CF0548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modern"/>
    <w:pitch w:val="default"/>
    <w:sig w:usb0="00000000" w:usb1="00000000" w:usb2="00000000" w:usb3="00000000" w:csb0="00000001" w:csb1="00000000"/>
  </w:font>
  <w:font w:name="Courier">
    <w:altName w:val="Courier New"/>
    <w:panose1 w:val="02070409020205020404"/>
    <w:charset w:val="00"/>
    <w:family w:val="roman"/>
    <w:pitch w:val="default"/>
    <w:sig w:usb0="00000000" w:usb1="00000000" w:usb2="00000000" w:usb3="00000000" w:csb0="00000001" w:csb1="00000000"/>
  </w:font>
  <w:font w:name="Tms Rmn">
    <w:altName w:val="Segoe Print"/>
    <w:panose1 w:val="02020603040505020304"/>
    <w:charset w:val="00"/>
    <w:family w:val="decorative"/>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Helv">
    <w:altName w:val="Arial"/>
    <w:panose1 w:val="020B0604020202030204"/>
    <w:charset w:val="00"/>
    <w:family w:val="modern"/>
    <w:pitch w:val="default"/>
    <w:sig w:usb0="00000000" w:usb1="00000000" w:usb2="00000000" w:usb3="00000000" w:csb0="00000001" w:csb1="00000000"/>
  </w:font>
  <w:font w:name="New York">
    <w:altName w:val="Times New Roman"/>
    <w:panose1 w:val="02040503060506020304"/>
    <w:charset w:val="00"/>
    <w:family w:val="decorative"/>
    <w:pitch w:val="default"/>
    <w:sig w:usb0="00000000" w:usb1="00000000" w:usb2="00000000" w:usb3="00000000" w:csb0="00000001" w:csb1="00000000"/>
  </w:font>
  <w:font w:name="Arial Unicode MS">
    <w:altName w:val="宋体"/>
    <w:panose1 w:val="020B0604020202020204"/>
    <w:charset w:val="86"/>
    <w:family w:val="modern"/>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embedRegular r:id="rId5" w:fontKey="{B5D60D8E-D7C9-4F8F-9654-B4F9264F5695}"/>
  </w:font>
  <w:font w:name="仿宋">
    <w:panose1 w:val="02010609060101010101"/>
    <w:charset w:val="86"/>
    <w:family w:val="auto"/>
    <w:pitch w:val="default"/>
    <w:sig w:usb0="800002BF" w:usb1="38CF7CFA" w:usb2="00000016" w:usb3="00000000" w:csb0="00040001" w:csb1="00000000"/>
    <w:embedRegular r:id="rId6" w:fontKey="{242283D3-862C-4751-8ECE-B1797605F857}"/>
  </w:font>
  <w:font w:name="楷体">
    <w:panose1 w:val="02010609060101010101"/>
    <w:charset w:val="86"/>
    <w:family w:val="roman"/>
    <w:pitch w:val="default"/>
    <w:sig w:usb0="800002BF" w:usb1="38CF7CFA" w:usb2="00000016" w:usb3="00000000" w:csb0="00040001" w:csb1="00000000"/>
    <w:embedRegular r:id="rId7" w:fontKey="{B7C85574-B75F-43E5-A9CE-0E18AEA8E3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4A69E">
    <w:pPr>
      <w:pStyle w:val="13"/>
      <w:jc w:val="cente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96" name="文本框 1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9ADE7E">
                          <w:pPr>
                            <w:pStyle w:val="13"/>
                          </w:pPr>
                          <w:r>
                            <w:fldChar w:fldCharType="begin"/>
                          </w:r>
                          <w:r>
                            <w:instrText xml:space="preserve"> PAGE  \* MERGEFORMAT </w:instrText>
                          </w:r>
                          <w:r>
                            <w:fldChar w:fldCharType="separate"/>
                          </w:r>
                          <w:r>
                            <w:t>- 19 -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ZTuoktAgAAWQ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7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od8sC1u9szxC&#10;R/G8XR0DBGx1jaJ0SvRaoePayvTTEVv6z30b9fhH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ZTuoktAgAAWQQAAA4AAAAAAAAAAQAgAAAAHwEAAGRycy9lMm9Eb2MueG1sUEsFBgAAAAAG&#10;AAYAWQEAAL4FAAAAAA==&#10;">
              <v:fill on="f" focussize="0,0"/>
              <v:stroke on="f" weight="0.5pt"/>
              <v:imagedata o:title=""/>
              <o:lock v:ext="edit" aspectratio="f"/>
              <v:textbox inset="0mm,0mm,0mm,0mm" style="mso-fit-shape-to-text:t;">
                <w:txbxContent>
                  <w:p w14:paraId="689ADE7E">
                    <w:pPr>
                      <w:pStyle w:val="13"/>
                    </w:pPr>
                    <w:r>
                      <w:fldChar w:fldCharType="begin"/>
                    </w:r>
                    <w:r>
                      <w:instrText xml:space="preserve"> PAGE  \* MERGEFORMAT </w:instrText>
                    </w:r>
                    <w:r>
                      <w:fldChar w:fldCharType="separate"/>
                    </w:r>
                    <w:r>
                      <w:t>- 19 -</w:t>
                    </w:r>
                    <w:r>
                      <w:fldChar w:fldCharType="end"/>
                    </w:r>
                  </w:p>
                </w:txbxContent>
              </v:textbox>
            </v:shape>
          </w:pict>
        </mc:Fallback>
      </mc:AlternateContent>
    </w:r>
  </w:p>
  <w:p w14:paraId="1165ABC4">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6B96D">
    <w:pPr>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B185E0"/>
    <w:multiLevelType w:val="singleLevel"/>
    <w:tmpl w:val="C5B185E0"/>
    <w:lvl w:ilvl="0" w:tentative="0">
      <w:start w:val="10"/>
      <w:numFmt w:val="chineseCounting"/>
      <w:suff w:val="nothing"/>
      <w:lvlText w:val="%1、"/>
      <w:lvlJc w:val="left"/>
      <w:rPr>
        <w:rFonts w:hint="eastAsia"/>
      </w:rPr>
    </w:lvl>
  </w:abstractNum>
  <w:abstractNum w:abstractNumId="1">
    <w:nsid w:val="0206D994"/>
    <w:multiLevelType w:val="singleLevel"/>
    <w:tmpl w:val="0206D994"/>
    <w:lvl w:ilvl="0" w:tentative="0">
      <w:start w:val="1"/>
      <w:numFmt w:val="chineseCounting"/>
      <w:suff w:val="nothing"/>
      <w:lvlText w:val="（%1）"/>
      <w:lvlJc w:val="left"/>
      <w:rPr>
        <w:rFonts w:hint="eastAsia"/>
      </w:rPr>
    </w:lvl>
  </w:abstractNum>
  <w:abstractNum w:abstractNumId="2">
    <w:nsid w:val="07ABDAE8"/>
    <w:multiLevelType w:val="singleLevel"/>
    <w:tmpl w:val="07ABDAE8"/>
    <w:lvl w:ilvl="0" w:tentative="0">
      <w:start w:val="1"/>
      <w:numFmt w:val="decimal"/>
      <w:suff w:val="nothing"/>
      <w:lvlText w:val="%1．"/>
      <w:lvlJc w:val="left"/>
    </w:lvl>
  </w:abstractNum>
  <w:abstractNum w:abstractNumId="3">
    <w:nsid w:val="3265B7C3"/>
    <w:multiLevelType w:val="singleLevel"/>
    <w:tmpl w:val="3265B7C3"/>
    <w:lvl w:ilvl="0" w:tentative="0">
      <w:start w:val="1"/>
      <w:numFmt w:val="chineseCounting"/>
      <w:suff w:val="nothing"/>
      <w:lvlText w:val="%1、"/>
      <w:lvlJc w:val="left"/>
      <w:rPr>
        <w:rFonts w:hint="eastAsia"/>
      </w:rPr>
    </w:lvl>
  </w:abstractNum>
  <w:abstractNum w:abstractNumId="4">
    <w:nsid w:val="4B167CF3"/>
    <w:multiLevelType w:val="singleLevel"/>
    <w:tmpl w:val="4B167CF3"/>
    <w:lvl w:ilvl="0" w:tentative="0">
      <w:start w:val="5"/>
      <w:numFmt w:val="chineseCounting"/>
      <w:suff w:val="nothing"/>
      <w:lvlText w:val="%1、"/>
      <w:lvlJc w:val="left"/>
      <w:rPr>
        <w:rFonts w:hint="eastAsia"/>
      </w:rPr>
    </w:lvl>
  </w:abstractNum>
  <w:abstractNum w:abstractNumId="5">
    <w:nsid w:val="4EC74364"/>
    <w:multiLevelType w:val="singleLevel"/>
    <w:tmpl w:val="4EC74364"/>
    <w:lvl w:ilvl="0" w:tentative="0">
      <w:start w:val="1"/>
      <w:numFmt w:val="chineseCounting"/>
      <w:suff w:val="nothing"/>
      <w:lvlText w:val="%1、"/>
      <w:lvlJc w:val="left"/>
      <w:rPr>
        <w:rFonts w:hint="eastAsia"/>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jZjc1YzM4YzMwZWE1ZjE5MDk1YWVlODQxYTZjNGIifQ=="/>
  </w:docVars>
  <w:rsids>
    <w:rsidRoot w:val="00172A27"/>
    <w:rsid w:val="00000CBF"/>
    <w:rsid w:val="000034CD"/>
    <w:rsid w:val="00003B87"/>
    <w:rsid w:val="000106AF"/>
    <w:rsid w:val="00010F09"/>
    <w:rsid w:val="00010F57"/>
    <w:rsid w:val="00014729"/>
    <w:rsid w:val="000168E2"/>
    <w:rsid w:val="00016E30"/>
    <w:rsid w:val="0001778D"/>
    <w:rsid w:val="00023930"/>
    <w:rsid w:val="0002537D"/>
    <w:rsid w:val="000267C9"/>
    <w:rsid w:val="000316D6"/>
    <w:rsid w:val="00034C3D"/>
    <w:rsid w:val="00035935"/>
    <w:rsid w:val="00035BD9"/>
    <w:rsid w:val="00037650"/>
    <w:rsid w:val="000408B3"/>
    <w:rsid w:val="000409C6"/>
    <w:rsid w:val="00040A7B"/>
    <w:rsid w:val="0004437D"/>
    <w:rsid w:val="00044D5A"/>
    <w:rsid w:val="000517C8"/>
    <w:rsid w:val="00052722"/>
    <w:rsid w:val="00052AB3"/>
    <w:rsid w:val="000530B5"/>
    <w:rsid w:val="000547DF"/>
    <w:rsid w:val="0005634A"/>
    <w:rsid w:val="00056E21"/>
    <w:rsid w:val="00061CEE"/>
    <w:rsid w:val="00063642"/>
    <w:rsid w:val="00065474"/>
    <w:rsid w:val="00071596"/>
    <w:rsid w:val="00073EED"/>
    <w:rsid w:val="00080B1C"/>
    <w:rsid w:val="00082025"/>
    <w:rsid w:val="000843F5"/>
    <w:rsid w:val="00084B87"/>
    <w:rsid w:val="00084C61"/>
    <w:rsid w:val="00084EE5"/>
    <w:rsid w:val="00085C93"/>
    <w:rsid w:val="00087A5E"/>
    <w:rsid w:val="00090945"/>
    <w:rsid w:val="00094212"/>
    <w:rsid w:val="00094289"/>
    <w:rsid w:val="00094579"/>
    <w:rsid w:val="0009486F"/>
    <w:rsid w:val="00097AD5"/>
    <w:rsid w:val="00097E70"/>
    <w:rsid w:val="000A3463"/>
    <w:rsid w:val="000A3CBA"/>
    <w:rsid w:val="000B179A"/>
    <w:rsid w:val="000B19DD"/>
    <w:rsid w:val="000B271C"/>
    <w:rsid w:val="000B3090"/>
    <w:rsid w:val="000B395D"/>
    <w:rsid w:val="000B4C87"/>
    <w:rsid w:val="000B5E2F"/>
    <w:rsid w:val="000B75C9"/>
    <w:rsid w:val="000C2547"/>
    <w:rsid w:val="000C2657"/>
    <w:rsid w:val="000C3B4A"/>
    <w:rsid w:val="000C7570"/>
    <w:rsid w:val="000D1A18"/>
    <w:rsid w:val="000D4710"/>
    <w:rsid w:val="000E093A"/>
    <w:rsid w:val="000E597B"/>
    <w:rsid w:val="000E63BF"/>
    <w:rsid w:val="000F0BD4"/>
    <w:rsid w:val="000F344F"/>
    <w:rsid w:val="000F6C2D"/>
    <w:rsid w:val="000F7468"/>
    <w:rsid w:val="000F746A"/>
    <w:rsid w:val="00102140"/>
    <w:rsid w:val="00106E16"/>
    <w:rsid w:val="001114EC"/>
    <w:rsid w:val="00112A96"/>
    <w:rsid w:val="001133DF"/>
    <w:rsid w:val="00114F9E"/>
    <w:rsid w:val="001151B8"/>
    <w:rsid w:val="00122854"/>
    <w:rsid w:val="00122B22"/>
    <w:rsid w:val="00123EEA"/>
    <w:rsid w:val="00126508"/>
    <w:rsid w:val="001329DF"/>
    <w:rsid w:val="001342A7"/>
    <w:rsid w:val="001357A3"/>
    <w:rsid w:val="00142E3E"/>
    <w:rsid w:val="001432CD"/>
    <w:rsid w:val="0014381D"/>
    <w:rsid w:val="0014464F"/>
    <w:rsid w:val="00152205"/>
    <w:rsid w:val="00153AFD"/>
    <w:rsid w:val="00155332"/>
    <w:rsid w:val="00155E13"/>
    <w:rsid w:val="00157214"/>
    <w:rsid w:val="001602D6"/>
    <w:rsid w:val="00163244"/>
    <w:rsid w:val="00163F67"/>
    <w:rsid w:val="00172A27"/>
    <w:rsid w:val="001735FD"/>
    <w:rsid w:val="001738CA"/>
    <w:rsid w:val="00175368"/>
    <w:rsid w:val="001802D6"/>
    <w:rsid w:val="00191536"/>
    <w:rsid w:val="00193879"/>
    <w:rsid w:val="001940E1"/>
    <w:rsid w:val="00196BA0"/>
    <w:rsid w:val="0019719A"/>
    <w:rsid w:val="001A02B5"/>
    <w:rsid w:val="001A1BDF"/>
    <w:rsid w:val="001A2F89"/>
    <w:rsid w:val="001A3158"/>
    <w:rsid w:val="001A3CE2"/>
    <w:rsid w:val="001A5241"/>
    <w:rsid w:val="001B012D"/>
    <w:rsid w:val="001B0DDF"/>
    <w:rsid w:val="001B1449"/>
    <w:rsid w:val="001B3621"/>
    <w:rsid w:val="001B4457"/>
    <w:rsid w:val="001B5368"/>
    <w:rsid w:val="001B5EC9"/>
    <w:rsid w:val="001B7FCD"/>
    <w:rsid w:val="001C0CDF"/>
    <w:rsid w:val="001C4010"/>
    <w:rsid w:val="001C6BF1"/>
    <w:rsid w:val="001D3C7E"/>
    <w:rsid w:val="001D6D0B"/>
    <w:rsid w:val="001D7958"/>
    <w:rsid w:val="001E0433"/>
    <w:rsid w:val="001E0815"/>
    <w:rsid w:val="001E3429"/>
    <w:rsid w:val="001E68D8"/>
    <w:rsid w:val="001E76DB"/>
    <w:rsid w:val="001F4C1E"/>
    <w:rsid w:val="001F6B7A"/>
    <w:rsid w:val="00200204"/>
    <w:rsid w:val="002015D3"/>
    <w:rsid w:val="002039F1"/>
    <w:rsid w:val="002044DF"/>
    <w:rsid w:val="002049F7"/>
    <w:rsid w:val="0021312E"/>
    <w:rsid w:val="0021383F"/>
    <w:rsid w:val="00214BEE"/>
    <w:rsid w:val="0021585B"/>
    <w:rsid w:val="0021600A"/>
    <w:rsid w:val="0021726C"/>
    <w:rsid w:val="00217770"/>
    <w:rsid w:val="00220C2A"/>
    <w:rsid w:val="00221E65"/>
    <w:rsid w:val="002240B1"/>
    <w:rsid w:val="0022415F"/>
    <w:rsid w:val="00224835"/>
    <w:rsid w:val="00224F3D"/>
    <w:rsid w:val="00225C23"/>
    <w:rsid w:val="00233D9B"/>
    <w:rsid w:val="00236FA6"/>
    <w:rsid w:val="00240094"/>
    <w:rsid w:val="00241B6B"/>
    <w:rsid w:val="002431E6"/>
    <w:rsid w:val="0024416D"/>
    <w:rsid w:val="00244B90"/>
    <w:rsid w:val="00245FFD"/>
    <w:rsid w:val="0025052F"/>
    <w:rsid w:val="0025133B"/>
    <w:rsid w:val="002519F2"/>
    <w:rsid w:val="00251E52"/>
    <w:rsid w:val="00252024"/>
    <w:rsid w:val="00252295"/>
    <w:rsid w:val="002604EC"/>
    <w:rsid w:val="0026390E"/>
    <w:rsid w:val="00266811"/>
    <w:rsid w:val="00266E55"/>
    <w:rsid w:val="002670EA"/>
    <w:rsid w:val="00270D49"/>
    <w:rsid w:val="002742F8"/>
    <w:rsid w:val="002748BD"/>
    <w:rsid w:val="00274A4D"/>
    <w:rsid w:val="00274E33"/>
    <w:rsid w:val="00286355"/>
    <w:rsid w:val="00286B1A"/>
    <w:rsid w:val="00287D92"/>
    <w:rsid w:val="00290958"/>
    <w:rsid w:val="00291FC4"/>
    <w:rsid w:val="002926AE"/>
    <w:rsid w:val="00293A42"/>
    <w:rsid w:val="00293F3B"/>
    <w:rsid w:val="00294D1F"/>
    <w:rsid w:val="002A1A3B"/>
    <w:rsid w:val="002A25F0"/>
    <w:rsid w:val="002A38DC"/>
    <w:rsid w:val="002A3F94"/>
    <w:rsid w:val="002A4CC2"/>
    <w:rsid w:val="002B0E96"/>
    <w:rsid w:val="002B21CC"/>
    <w:rsid w:val="002B3658"/>
    <w:rsid w:val="002B37C5"/>
    <w:rsid w:val="002B7E88"/>
    <w:rsid w:val="002D028A"/>
    <w:rsid w:val="002D2D64"/>
    <w:rsid w:val="002D3180"/>
    <w:rsid w:val="002D4EA7"/>
    <w:rsid w:val="002D6124"/>
    <w:rsid w:val="002D6167"/>
    <w:rsid w:val="002D70B8"/>
    <w:rsid w:val="002D7791"/>
    <w:rsid w:val="002D7AEB"/>
    <w:rsid w:val="002D7FE5"/>
    <w:rsid w:val="002F0AEA"/>
    <w:rsid w:val="002F0CEB"/>
    <w:rsid w:val="002F1022"/>
    <w:rsid w:val="002F2712"/>
    <w:rsid w:val="002F73C2"/>
    <w:rsid w:val="002F7AA1"/>
    <w:rsid w:val="0030209D"/>
    <w:rsid w:val="00304A27"/>
    <w:rsid w:val="0030703E"/>
    <w:rsid w:val="00307477"/>
    <w:rsid w:val="003115CC"/>
    <w:rsid w:val="00313750"/>
    <w:rsid w:val="00316EA0"/>
    <w:rsid w:val="00321A3C"/>
    <w:rsid w:val="0033160F"/>
    <w:rsid w:val="00331DB0"/>
    <w:rsid w:val="003337F4"/>
    <w:rsid w:val="00334CE7"/>
    <w:rsid w:val="00335EEB"/>
    <w:rsid w:val="00337D32"/>
    <w:rsid w:val="003406D1"/>
    <w:rsid w:val="0034673B"/>
    <w:rsid w:val="00351751"/>
    <w:rsid w:val="00351CBC"/>
    <w:rsid w:val="00352172"/>
    <w:rsid w:val="00355342"/>
    <w:rsid w:val="00356692"/>
    <w:rsid w:val="00356F2E"/>
    <w:rsid w:val="003575C9"/>
    <w:rsid w:val="0036025D"/>
    <w:rsid w:val="00361339"/>
    <w:rsid w:val="003617B4"/>
    <w:rsid w:val="003631E0"/>
    <w:rsid w:val="003655C7"/>
    <w:rsid w:val="003666F6"/>
    <w:rsid w:val="00367F5C"/>
    <w:rsid w:val="00367FEB"/>
    <w:rsid w:val="00370C21"/>
    <w:rsid w:val="0037119D"/>
    <w:rsid w:val="00371460"/>
    <w:rsid w:val="00371E38"/>
    <w:rsid w:val="00374C99"/>
    <w:rsid w:val="00374EC2"/>
    <w:rsid w:val="00375717"/>
    <w:rsid w:val="00377F83"/>
    <w:rsid w:val="00385C9F"/>
    <w:rsid w:val="00385D9C"/>
    <w:rsid w:val="00386A78"/>
    <w:rsid w:val="00387B4F"/>
    <w:rsid w:val="00387FDC"/>
    <w:rsid w:val="003900E4"/>
    <w:rsid w:val="003908AD"/>
    <w:rsid w:val="003944BB"/>
    <w:rsid w:val="003945B5"/>
    <w:rsid w:val="00394D62"/>
    <w:rsid w:val="00395D0B"/>
    <w:rsid w:val="00397362"/>
    <w:rsid w:val="003A003A"/>
    <w:rsid w:val="003A1185"/>
    <w:rsid w:val="003A3E3C"/>
    <w:rsid w:val="003A4972"/>
    <w:rsid w:val="003B4A14"/>
    <w:rsid w:val="003B5570"/>
    <w:rsid w:val="003C31AB"/>
    <w:rsid w:val="003C35CD"/>
    <w:rsid w:val="003C43EA"/>
    <w:rsid w:val="003C4F65"/>
    <w:rsid w:val="003C53D2"/>
    <w:rsid w:val="003C7866"/>
    <w:rsid w:val="003D0971"/>
    <w:rsid w:val="003D3C90"/>
    <w:rsid w:val="003D5CBF"/>
    <w:rsid w:val="003E02C3"/>
    <w:rsid w:val="003E18C9"/>
    <w:rsid w:val="003F567D"/>
    <w:rsid w:val="003F7782"/>
    <w:rsid w:val="00400588"/>
    <w:rsid w:val="00406AC9"/>
    <w:rsid w:val="0041073B"/>
    <w:rsid w:val="0041167C"/>
    <w:rsid w:val="004138A8"/>
    <w:rsid w:val="0041426C"/>
    <w:rsid w:val="00416FDF"/>
    <w:rsid w:val="00417B37"/>
    <w:rsid w:val="0042054B"/>
    <w:rsid w:val="00420D95"/>
    <w:rsid w:val="004253B8"/>
    <w:rsid w:val="00425ED7"/>
    <w:rsid w:val="00426740"/>
    <w:rsid w:val="00427C2F"/>
    <w:rsid w:val="0043128C"/>
    <w:rsid w:val="00434D44"/>
    <w:rsid w:val="0044228B"/>
    <w:rsid w:val="00442688"/>
    <w:rsid w:val="00442AED"/>
    <w:rsid w:val="00442D5D"/>
    <w:rsid w:val="00444B82"/>
    <w:rsid w:val="004459F0"/>
    <w:rsid w:val="00454633"/>
    <w:rsid w:val="00454737"/>
    <w:rsid w:val="00455BF8"/>
    <w:rsid w:val="00456DB3"/>
    <w:rsid w:val="00456EAD"/>
    <w:rsid w:val="004604FE"/>
    <w:rsid w:val="004611A8"/>
    <w:rsid w:val="00461737"/>
    <w:rsid w:val="00467117"/>
    <w:rsid w:val="00467D70"/>
    <w:rsid w:val="00467DC5"/>
    <w:rsid w:val="004702DB"/>
    <w:rsid w:val="00473D33"/>
    <w:rsid w:val="004769DB"/>
    <w:rsid w:val="00481EB5"/>
    <w:rsid w:val="00482B89"/>
    <w:rsid w:val="004833E7"/>
    <w:rsid w:val="00483401"/>
    <w:rsid w:val="00491B17"/>
    <w:rsid w:val="004931F8"/>
    <w:rsid w:val="00494023"/>
    <w:rsid w:val="004967F7"/>
    <w:rsid w:val="00497241"/>
    <w:rsid w:val="004A1F81"/>
    <w:rsid w:val="004A20B6"/>
    <w:rsid w:val="004A2789"/>
    <w:rsid w:val="004A2DF3"/>
    <w:rsid w:val="004A2FCA"/>
    <w:rsid w:val="004A3875"/>
    <w:rsid w:val="004A7AF4"/>
    <w:rsid w:val="004B048E"/>
    <w:rsid w:val="004B143B"/>
    <w:rsid w:val="004B174D"/>
    <w:rsid w:val="004B5933"/>
    <w:rsid w:val="004C500C"/>
    <w:rsid w:val="004C5FFC"/>
    <w:rsid w:val="004C74F7"/>
    <w:rsid w:val="004D1253"/>
    <w:rsid w:val="004D158E"/>
    <w:rsid w:val="004D281F"/>
    <w:rsid w:val="004D2861"/>
    <w:rsid w:val="004D5666"/>
    <w:rsid w:val="004D6BB1"/>
    <w:rsid w:val="004D7A03"/>
    <w:rsid w:val="004D7DBF"/>
    <w:rsid w:val="004E0454"/>
    <w:rsid w:val="004E06ED"/>
    <w:rsid w:val="004E1457"/>
    <w:rsid w:val="004E4A43"/>
    <w:rsid w:val="004E4BBF"/>
    <w:rsid w:val="004F2CDD"/>
    <w:rsid w:val="004F4D87"/>
    <w:rsid w:val="004F55CD"/>
    <w:rsid w:val="004F58A0"/>
    <w:rsid w:val="004F5F12"/>
    <w:rsid w:val="004F6692"/>
    <w:rsid w:val="004F77B0"/>
    <w:rsid w:val="00501EEF"/>
    <w:rsid w:val="00502A31"/>
    <w:rsid w:val="00505021"/>
    <w:rsid w:val="00506790"/>
    <w:rsid w:val="00510EFF"/>
    <w:rsid w:val="00511B53"/>
    <w:rsid w:val="005146EE"/>
    <w:rsid w:val="005160E3"/>
    <w:rsid w:val="005161E3"/>
    <w:rsid w:val="00516B40"/>
    <w:rsid w:val="005203F0"/>
    <w:rsid w:val="00521E09"/>
    <w:rsid w:val="00525EB0"/>
    <w:rsid w:val="00535551"/>
    <w:rsid w:val="0053664B"/>
    <w:rsid w:val="00540718"/>
    <w:rsid w:val="00540B71"/>
    <w:rsid w:val="00541F46"/>
    <w:rsid w:val="0054292B"/>
    <w:rsid w:val="005440BF"/>
    <w:rsid w:val="0054661A"/>
    <w:rsid w:val="00552574"/>
    <w:rsid w:val="00554DCA"/>
    <w:rsid w:val="00556C59"/>
    <w:rsid w:val="00557E0E"/>
    <w:rsid w:val="005604D0"/>
    <w:rsid w:val="005614CC"/>
    <w:rsid w:val="005615F3"/>
    <w:rsid w:val="0056225D"/>
    <w:rsid w:val="00562E92"/>
    <w:rsid w:val="005639FA"/>
    <w:rsid w:val="0056420B"/>
    <w:rsid w:val="00564ABA"/>
    <w:rsid w:val="005653F5"/>
    <w:rsid w:val="00571BB6"/>
    <w:rsid w:val="00572A14"/>
    <w:rsid w:val="0057572A"/>
    <w:rsid w:val="00576A02"/>
    <w:rsid w:val="0058236D"/>
    <w:rsid w:val="00582BA2"/>
    <w:rsid w:val="00583D19"/>
    <w:rsid w:val="0058789A"/>
    <w:rsid w:val="00593F60"/>
    <w:rsid w:val="00594E72"/>
    <w:rsid w:val="00594E89"/>
    <w:rsid w:val="00595732"/>
    <w:rsid w:val="005957A8"/>
    <w:rsid w:val="005A0020"/>
    <w:rsid w:val="005A0592"/>
    <w:rsid w:val="005A09E0"/>
    <w:rsid w:val="005A1BC7"/>
    <w:rsid w:val="005A7383"/>
    <w:rsid w:val="005B155E"/>
    <w:rsid w:val="005B1651"/>
    <w:rsid w:val="005B1D05"/>
    <w:rsid w:val="005B544A"/>
    <w:rsid w:val="005B570B"/>
    <w:rsid w:val="005B5ECD"/>
    <w:rsid w:val="005C5D3B"/>
    <w:rsid w:val="005C773C"/>
    <w:rsid w:val="005D2118"/>
    <w:rsid w:val="005D476C"/>
    <w:rsid w:val="005D5AEF"/>
    <w:rsid w:val="005E031D"/>
    <w:rsid w:val="005E2226"/>
    <w:rsid w:val="005F007E"/>
    <w:rsid w:val="005F22D5"/>
    <w:rsid w:val="005F2659"/>
    <w:rsid w:val="005F3198"/>
    <w:rsid w:val="005F5238"/>
    <w:rsid w:val="005F5B86"/>
    <w:rsid w:val="00603A8C"/>
    <w:rsid w:val="00607135"/>
    <w:rsid w:val="00610D76"/>
    <w:rsid w:val="0061425B"/>
    <w:rsid w:val="00615CCA"/>
    <w:rsid w:val="00616504"/>
    <w:rsid w:val="00616551"/>
    <w:rsid w:val="00617C3C"/>
    <w:rsid w:val="00623384"/>
    <w:rsid w:val="006236AD"/>
    <w:rsid w:val="0063195F"/>
    <w:rsid w:val="00632944"/>
    <w:rsid w:val="006355A9"/>
    <w:rsid w:val="00637A4F"/>
    <w:rsid w:val="00641CD5"/>
    <w:rsid w:val="00642BB6"/>
    <w:rsid w:val="00644031"/>
    <w:rsid w:val="00644FBC"/>
    <w:rsid w:val="00647134"/>
    <w:rsid w:val="00652DB9"/>
    <w:rsid w:val="0065703E"/>
    <w:rsid w:val="006575E7"/>
    <w:rsid w:val="00657673"/>
    <w:rsid w:val="00661E32"/>
    <w:rsid w:val="00662CCA"/>
    <w:rsid w:val="00662EC6"/>
    <w:rsid w:val="00662F26"/>
    <w:rsid w:val="00665B56"/>
    <w:rsid w:val="006720DF"/>
    <w:rsid w:val="00672743"/>
    <w:rsid w:val="00681E9C"/>
    <w:rsid w:val="00682B2E"/>
    <w:rsid w:val="00683341"/>
    <w:rsid w:val="006853C1"/>
    <w:rsid w:val="0068695A"/>
    <w:rsid w:val="00686C54"/>
    <w:rsid w:val="00687D34"/>
    <w:rsid w:val="00691B56"/>
    <w:rsid w:val="00691CC7"/>
    <w:rsid w:val="00691D88"/>
    <w:rsid w:val="00693C36"/>
    <w:rsid w:val="0069508B"/>
    <w:rsid w:val="00695904"/>
    <w:rsid w:val="006966EC"/>
    <w:rsid w:val="0069730F"/>
    <w:rsid w:val="00697930"/>
    <w:rsid w:val="006A0A1B"/>
    <w:rsid w:val="006A1B40"/>
    <w:rsid w:val="006A29F4"/>
    <w:rsid w:val="006A33FD"/>
    <w:rsid w:val="006A4D49"/>
    <w:rsid w:val="006A5098"/>
    <w:rsid w:val="006A623D"/>
    <w:rsid w:val="006B1149"/>
    <w:rsid w:val="006B1F4E"/>
    <w:rsid w:val="006B35D8"/>
    <w:rsid w:val="006B5EC7"/>
    <w:rsid w:val="006B6C41"/>
    <w:rsid w:val="006C0F17"/>
    <w:rsid w:val="006C3341"/>
    <w:rsid w:val="006C3359"/>
    <w:rsid w:val="006C4A23"/>
    <w:rsid w:val="006C5697"/>
    <w:rsid w:val="006C6FF2"/>
    <w:rsid w:val="006C79FA"/>
    <w:rsid w:val="006C7ECE"/>
    <w:rsid w:val="006D10E1"/>
    <w:rsid w:val="006D3BB4"/>
    <w:rsid w:val="006D4EAB"/>
    <w:rsid w:val="006F04BC"/>
    <w:rsid w:val="006F520F"/>
    <w:rsid w:val="00700A16"/>
    <w:rsid w:val="00701E0C"/>
    <w:rsid w:val="0070236E"/>
    <w:rsid w:val="00702E1F"/>
    <w:rsid w:val="00705D96"/>
    <w:rsid w:val="00706BD6"/>
    <w:rsid w:val="00710B15"/>
    <w:rsid w:val="00710DBC"/>
    <w:rsid w:val="00710F2F"/>
    <w:rsid w:val="00711981"/>
    <w:rsid w:val="00712513"/>
    <w:rsid w:val="00714FCB"/>
    <w:rsid w:val="00716714"/>
    <w:rsid w:val="00717855"/>
    <w:rsid w:val="007208BC"/>
    <w:rsid w:val="007223AD"/>
    <w:rsid w:val="0072313B"/>
    <w:rsid w:val="0073016A"/>
    <w:rsid w:val="007319CE"/>
    <w:rsid w:val="0073502E"/>
    <w:rsid w:val="00735453"/>
    <w:rsid w:val="0074153A"/>
    <w:rsid w:val="00741A58"/>
    <w:rsid w:val="007438FA"/>
    <w:rsid w:val="007444F9"/>
    <w:rsid w:val="00745662"/>
    <w:rsid w:val="00746BB0"/>
    <w:rsid w:val="007500F5"/>
    <w:rsid w:val="007503B4"/>
    <w:rsid w:val="00751B12"/>
    <w:rsid w:val="007525B4"/>
    <w:rsid w:val="0075361E"/>
    <w:rsid w:val="00755B39"/>
    <w:rsid w:val="00756505"/>
    <w:rsid w:val="007602DD"/>
    <w:rsid w:val="00760CD7"/>
    <w:rsid w:val="0076688E"/>
    <w:rsid w:val="007720CC"/>
    <w:rsid w:val="0077226B"/>
    <w:rsid w:val="00773DB6"/>
    <w:rsid w:val="0077514A"/>
    <w:rsid w:val="00781279"/>
    <w:rsid w:val="00783AFE"/>
    <w:rsid w:val="007904FF"/>
    <w:rsid w:val="007925EB"/>
    <w:rsid w:val="00796798"/>
    <w:rsid w:val="00797B28"/>
    <w:rsid w:val="007A038A"/>
    <w:rsid w:val="007A1E1B"/>
    <w:rsid w:val="007A23C5"/>
    <w:rsid w:val="007A3D48"/>
    <w:rsid w:val="007A5961"/>
    <w:rsid w:val="007A62AF"/>
    <w:rsid w:val="007A6303"/>
    <w:rsid w:val="007A73B9"/>
    <w:rsid w:val="007B0811"/>
    <w:rsid w:val="007B12CC"/>
    <w:rsid w:val="007B31EB"/>
    <w:rsid w:val="007B425E"/>
    <w:rsid w:val="007C1D53"/>
    <w:rsid w:val="007C22F2"/>
    <w:rsid w:val="007C3D31"/>
    <w:rsid w:val="007C4FA1"/>
    <w:rsid w:val="007D2F2B"/>
    <w:rsid w:val="007D48A4"/>
    <w:rsid w:val="007D719A"/>
    <w:rsid w:val="007E11AF"/>
    <w:rsid w:val="007E1A50"/>
    <w:rsid w:val="007E36AC"/>
    <w:rsid w:val="007E4B97"/>
    <w:rsid w:val="007E5353"/>
    <w:rsid w:val="007E55B7"/>
    <w:rsid w:val="007E6392"/>
    <w:rsid w:val="007F42D9"/>
    <w:rsid w:val="007F5799"/>
    <w:rsid w:val="007F5BF8"/>
    <w:rsid w:val="007F7B66"/>
    <w:rsid w:val="00801DE2"/>
    <w:rsid w:val="00802AAD"/>
    <w:rsid w:val="008038C9"/>
    <w:rsid w:val="0080646E"/>
    <w:rsid w:val="00806C2A"/>
    <w:rsid w:val="008077DA"/>
    <w:rsid w:val="008141B6"/>
    <w:rsid w:val="008153A1"/>
    <w:rsid w:val="00825BFE"/>
    <w:rsid w:val="00825C8F"/>
    <w:rsid w:val="00826B5E"/>
    <w:rsid w:val="00831380"/>
    <w:rsid w:val="00831843"/>
    <w:rsid w:val="00832D6F"/>
    <w:rsid w:val="008330BB"/>
    <w:rsid w:val="00833CAD"/>
    <w:rsid w:val="008406FC"/>
    <w:rsid w:val="00840AA3"/>
    <w:rsid w:val="008410E6"/>
    <w:rsid w:val="00841318"/>
    <w:rsid w:val="00841E77"/>
    <w:rsid w:val="008421E5"/>
    <w:rsid w:val="00845E45"/>
    <w:rsid w:val="008512E3"/>
    <w:rsid w:val="00851C1E"/>
    <w:rsid w:val="00853166"/>
    <w:rsid w:val="008545A3"/>
    <w:rsid w:val="00856CD9"/>
    <w:rsid w:val="00862F0E"/>
    <w:rsid w:val="00863E6B"/>
    <w:rsid w:val="008655F8"/>
    <w:rsid w:val="00867DAD"/>
    <w:rsid w:val="00867EAE"/>
    <w:rsid w:val="00870A99"/>
    <w:rsid w:val="00871458"/>
    <w:rsid w:val="00872CB6"/>
    <w:rsid w:val="00874F21"/>
    <w:rsid w:val="00882D02"/>
    <w:rsid w:val="00883213"/>
    <w:rsid w:val="0088340D"/>
    <w:rsid w:val="00884A1B"/>
    <w:rsid w:val="008923A4"/>
    <w:rsid w:val="008927E0"/>
    <w:rsid w:val="00893556"/>
    <w:rsid w:val="00893B88"/>
    <w:rsid w:val="008953C4"/>
    <w:rsid w:val="008A02F3"/>
    <w:rsid w:val="008A4193"/>
    <w:rsid w:val="008A4440"/>
    <w:rsid w:val="008A58B3"/>
    <w:rsid w:val="008B024E"/>
    <w:rsid w:val="008B14E4"/>
    <w:rsid w:val="008B2C45"/>
    <w:rsid w:val="008B4190"/>
    <w:rsid w:val="008C0361"/>
    <w:rsid w:val="008C2670"/>
    <w:rsid w:val="008C6831"/>
    <w:rsid w:val="008C736D"/>
    <w:rsid w:val="008D30DD"/>
    <w:rsid w:val="008D35B6"/>
    <w:rsid w:val="008D5D5A"/>
    <w:rsid w:val="008D63C9"/>
    <w:rsid w:val="008D77B0"/>
    <w:rsid w:val="008E06A1"/>
    <w:rsid w:val="008E1673"/>
    <w:rsid w:val="008E6D68"/>
    <w:rsid w:val="008F4555"/>
    <w:rsid w:val="00900431"/>
    <w:rsid w:val="00902193"/>
    <w:rsid w:val="0090328C"/>
    <w:rsid w:val="00910123"/>
    <w:rsid w:val="00912961"/>
    <w:rsid w:val="00913386"/>
    <w:rsid w:val="00913F71"/>
    <w:rsid w:val="00914563"/>
    <w:rsid w:val="00916D35"/>
    <w:rsid w:val="00921822"/>
    <w:rsid w:val="00921960"/>
    <w:rsid w:val="0092196F"/>
    <w:rsid w:val="00923F6C"/>
    <w:rsid w:val="00925D28"/>
    <w:rsid w:val="00927B48"/>
    <w:rsid w:val="00931166"/>
    <w:rsid w:val="0093340A"/>
    <w:rsid w:val="00933955"/>
    <w:rsid w:val="00935A11"/>
    <w:rsid w:val="00936518"/>
    <w:rsid w:val="00937032"/>
    <w:rsid w:val="00937C98"/>
    <w:rsid w:val="0094258F"/>
    <w:rsid w:val="0094661D"/>
    <w:rsid w:val="009469B5"/>
    <w:rsid w:val="0095122D"/>
    <w:rsid w:val="00952194"/>
    <w:rsid w:val="00955087"/>
    <w:rsid w:val="0095730F"/>
    <w:rsid w:val="0096060D"/>
    <w:rsid w:val="00961C95"/>
    <w:rsid w:val="00962A5F"/>
    <w:rsid w:val="00963B0B"/>
    <w:rsid w:val="0096467C"/>
    <w:rsid w:val="00965969"/>
    <w:rsid w:val="00965DB7"/>
    <w:rsid w:val="009667C2"/>
    <w:rsid w:val="00967F39"/>
    <w:rsid w:val="00970038"/>
    <w:rsid w:val="00971D84"/>
    <w:rsid w:val="0097237D"/>
    <w:rsid w:val="009740A2"/>
    <w:rsid w:val="00976F17"/>
    <w:rsid w:val="00981972"/>
    <w:rsid w:val="0098245F"/>
    <w:rsid w:val="009855CA"/>
    <w:rsid w:val="00990F07"/>
    <w:rsid w:val="009932D0"/>
    <w:rsid w:val="00996DA3"/>
    <w:rsid w:val="009A5F8F"/>
    <w:rsid w:val="009B0A61"/>
    <w:rsid w:val="009B109A"/>
    <w:rsid w:val="009B4531"/>
    <w:rsid w:val="009B5F75"/>
    <w:rsid w:val="009B6519"/>
    <w:rsid w:val="009B6C65"/>
    <w:rsid w:val="009B7836"/>
    <w:rsid w:val="009C164A"/>
    <w:rsid w:val="009D0A18"/>
    <w:rsid w:val="009D17E4"/>
    <w:rsid w:val="009D5A93"/>
    <w:rsid w:val="009D5BA5"/>
    <w:rsid w:val="009D64E2"/>
    <w:rsid w:val="009D6BF5"/>
    <w:rsid w:val="009E0276"/>
    <w:rsid w:val="009E25B6"/>
    <w:rsid w:val="009E2A29"/>
    <w:rsid w:val="009E5F33"/>
    <w:rsid w:val="009E6791"/>
    <w:rsid w:val="009E7510"/>
    <w:rsid w:val="009F02C1"/>
    <w:rsid w:val="009F0BD2"/>
    <w:rsid w:val="009F1452"/>
    <w:rsid w:val="009F1BF8"/>
    <w:rsid w:val="009F1C9C"/>
    <w:rsid w:val="009F250C"/>
    <w:rsid w:val="009F275E"/>
    <w:rsid w:val="009F434C"/>
    <w:rsid w:val="009F7D34"/>
    <w:rsid w:val="00A00E7B"/>
    <w:rsid w:val="00A02520"/>
    <w:rsid w:val="00A02BAA"/>
    <w:rsid w:val="00A107BD"/>
    <w:rsid w:val="00A10D56"/>
    <w:rsid w:val="00A1218E"/>
    <w:rsid w:val="00A12C39"/>
    <w:rsid w:val="00A13A13"/>
    <w:rsid w:val="00A15326"/>
    <w:rsid w:val="00A16CEC"/>
    <w:rsid w:val="00A26C91"/>
    <w:rsid w:val="00A26E9C"/>
    <w:rsid w:val="00A318E2"/>
    <w:rsid w:val="00A33F58"/>
    <w:rsid w:val="00A36055"/>
    <w:rsid w:val="00A40BC8"/>
    <w:rsid w:val="00A4369D"/>
    <w:rsid w:val="00A43B19"/>
    <w:rsid w:val="00A4472E"/>
    <w:rsid w:val="00A46D31"/>
    <w:rsid w:val="00A47EA4"/>
    <w:rsid w:val="00A5036F"/>
    <w:rsid w:val="00A503E5"/>
    <w:rsid w:val="00A509FD"/>
    <w:rsid w:val="00A53FF0"/>
    <w:rsid w:val="00A54456"/>
    <w:rsid w:val="00A5471E"/>
    <w:rsid w:val="00A551D7"/>
    <w:rsid w:val="00A55B27"/>
    <w:rsid w:val="00A55BDA"/>
    <w:rsid w:val="00A60C43"/>
    <w:rsid w:val="00A64596"/>
    <w:rsid w:val="00A67BE2"/>
    <w:rsid w:val="00A74820"/>
    <w:rsid w:val="00A76E41"/>
    <w:rsid w:val="00A776BC"/>
    <w:rsid w:val="00A8105F"/>
    <w:rsid w:val="00A81465"/>
    <w:rsid w:val="00A833A7"/>
    <w:rsid w:val="00A86AB0"/>
    <w:rsid w:val="00A87262"/>
    <w:rsid w:val="00A90F79"/>
    <w:rsid w:val="00A9323F"/>
    <w:rsid w:val="00A93929"/>
    <w:rsid w:val="00A9509B"/>
    <w:rsid w:val="00A963E4"/>
    <w:rsid w:val="00A97C90"/>
    <w:rsid w:val="00AA15A6"/>
    <w:rsid w:val="00AA182F"/>
    <w:rsid w:val="00AA3F58"/>
    <w:rsid w:val="00AA4870"/>
    <w:rsid w:val="00AA6B5D"/>
    <w:rsid w:val="00AB1D83"/>
    <w:rsid w:val="00AB5668"/>
    <w:rsid w:val="00AB587E"/>
    <w:rsid w:val="00AB6697"/>
    <w:rsid w:val="00AC0CA3"/>
    <w:rsid w:val="00AC24D8"/>
    <w:rsid w:val="00AC2F0E"/>
    <w:rsid w:val="00AC6329"/>
    <w:rsid w:val="00AC6B22"/>
    <w:rsid w:val="00AD13AD"/>
    <w:rsid w:val="00AE08D3"/>
    <w:rsid w:val="00AE225B"/>
    <w:rsid w:val="00AE46A4"/>
    <w:rsid w:val="00AE535D"/>
    <w:rsid w:val="00AE69CE"/>
    <w:rsid w:val="00AF08E9"/>
    <w:rsid w:val="00AF0B26"/>
    <w:rsid w:val="00AF0EBF"/>
    <w:rsid w:val="00AF2165"/>
    <w:rsid w:val="00AF6826"/>
    <w:rsid w:val="00B00877"/>
    <w:rsid w:val="00B02697"/>
    <w:rsid w:val="00B0719C"/>
    <w:rsid w:val="00B14CC8"/>
    <w:rsid w:val="00B17240"/>
    <w:rsid w:val="00B234C1"/>
    <w:rsid w:val="00B248CE"/>
    <w:rsid w:val="00B24E37"/>
    <w:rsid w:val="00B25020"/>
    <w:rsid w:val="00B256C8"/>
    <w:rsid w:val="00B256F6"/>
    <w:rsid w:val="00B272EE"/>
    <w:rsid w:val="00B302A1"/>
    <w:rsid w:val="00B31FCC"/>
    <w:rsid w:val="00B3557A"/>
    <w:rsid w:val="00B3740D"/>
    <w:rsid w:val="00B3776F"/>
    <w:rsid w:val="00B418AB"/>
    <w:rsid w:val="00B41ACE"/>
    <w:rsid w:val="00B4291F"/>
    <w:rsid w:val="00B42B7C"/>
    <w:rsid w:val="00B42F55"/>
    <w:rsid w:val="00B46CA3"/>
    <w:rsid w:val="00B5591E"/>
    <w:rsid w:val="00B565C7"/>
    <w:rsid w:val="00B56F47"/>
    <w:rsid w:val="00B608C5"/>
    <w:rsid w:val="00B61CEF"/>
    <w:rsid w:val="00B657D7"/>
    <w:rsid w:val="00B659E9"/>
    <w:rsid w:val="00B677D1"/>
    <w:rsid w:val="00B7130A"/>
    <w:rsid w:val="00B71CA8"/>
    <w:rsid w:val="00B753C1"/>
    <w:rsid w:val="00B82CCF"/>
    <w:rsid w:val="00B83052"/>
    <w:rsid w:val="00B8677C"/>
    <w:rsid w:val="00B90FC3"/>
    <w:rsid w:val="00B92387"/>
    <w:rsid w:val="00B9395A"/>
    <w:rsid w:val="00B93A38"/>
    <w:rsid w:val="00B95280"/>
    <w:rsid w:val="00B9638C"/>
    <w:rsid w:val="00BA5133"/>
    <w:rsid w:val="00BA5885"/>
    <w:rsid w:val="00BA59F6"/>
    <w:rsid w:val="00BA6774"/>
    <w:rsid w:val="00BB0763"/>
    <w:rsid w:val="00BB0E01"/>
    <w:rsid w:val="00BB1CB2"/>
    <w:rsid w:val="00BB21F1"/>
    <w:rsid w:val="00BB4264"/>
    <w:rsid w:val="00BB4B2D"/>
    <w:rsid w:val="00BB6099"/>
    <w:rsid w:val="00BB6BDE"/>
    <w:rsid w:val="00BB702A"/>
    <w:rsid w:val="00BC0FBE"/>
    <w:rsid w:val="00BC1D98"/>
    <w:rsid w:val="00BC3F50"/>
    <w:rsid w:val="00BD324F"/>
    <w:rsid w:val="00BD3603"/>
    <w:rsid w:val="00BD702A"/>
    <w:rsid w:val="00BE0161"/>
    <w:rsid w:val="00BE1766"/>
    <w:rsid w:val="00BE3275"/>
    <w:rsid w:val="00BE36C6"/>
    <w:rsid w:val="00BE5F84"/>
    <w:rsid w:val="00BF0DFB"/>
    <w:rsid w:val="00BF14CF"/>
    <w:rsid w:val="00BF48F2"/>
    <w:rsid w:val="00BF648F"/>
    <w:rsid w:val="00C00A12"/>
    <w:rsid w:val="00C01354"/>
    <w:rsid w:val="00C02E08"/>
    <w:rsid w:val="00C04FEC"/>
    <w:rsid w:val="00C05052"/>
    <w:rsid w:val="00C0544C"/>
    <w:rsid w:val="00C064AA"/>
    <w:rsid w:val="00C10643"/>
    <w:rsid w:val="00C15609"/>
    <w:rsid w:val="00C16EAB"/>
    <w:rsid w:val="00C23757"/>
    <w:rsid w:val="00C2432E"/>
    <w:rsid w:val="00C25332"/>
    <w:rsid w:val="00C25933"/>
    <w:rsid w:val="00C27C2B"/>
    <w:rsid w:val="00C3318C"/>
    <w:rsid w:val="00C34F6D"/>
    <w:rsid w:val="00C3720A"/>
    <w:rsid w:val="00C41DCA"/>
    <w:rsid w:val="00C45720"/>
    <w:rsid w:val="00C51934"/>
    <w:rsid w:val="00C549B2"/>
    <w:rsid w:val="00C55715"/>
    <w:rsid w:val="00C56FA8"/>
    <w:rsid w:val="00C61C00"/>
    <w:rsid w:val="00C62802"/>
    <w:rsid w:val="00C6346F"/>
    <w:rsid w:val="00C679E4"/>
    <w:rsid w:val="00C73DB2"/>
    <w:rsid w:val="00C75067"/>
    <w:rsid w:val="00C802CF"/>
    <w:rsid w:val="00C830BD"/>
    <w:rsid w:val="00C84E19"/>
    <w:rsid w:val="00C85194"/>
    <w:rsid w:val="00C95F53"/>
    <w:rsid w:val="00C97F3E"/>
    <w:rsid w:val="00CA00FB"/>
    <w:rsid w:val="00CA0715"/>
    <w:rsid w:val="00CA11BC"/>
    <w:rsid w:val="00CA1CD2"/>
    <w:rsid w:val="00CA39D0"/>
    <w:rsid w:val="00CA48E6"/>
    <w:rsid w:val="00CA4E7E"/>
    <w:rsid w:val="00CA67C6"/>
    <w:rsid w:val="00CB14B8"/>
    <w:rsid w:val="00CB262F"/>
    <w:rsid w:val="00CB39DC"/>
    <w:rsid w:val="00CB4939"/>
    <w:rsid w:val="00CB5977"/>
    <w:rsid w:val="00CB5E07"/>
    <w:rsid w:val="00CB5FDB"/>
    <w:rsid w:val="00CC36CA"/>
    <w:rsid w:val="00CC6EF3"/>
    <w:rsid w:val="00CC7A2E"/>
    <w:rsid w:val="00CC7AEB"/>
    <w:rsid w:val="00CD27CB"/>
    <w:rsid w:val="00CD478B"/>
    <w:rsid w:val="00CD6BE5"/>
    <w:rsid w:val="00CD77F5"/>
    <w:rsid w:val="00CD7CD7"/>
    <w:rsid w:val="00CD7DD7"/>
    <w:rsid w:val="00CE0245"/>
    <w:rsid w:val="00CE47BF"/>
    <w:rsid w:val="00CE76D0"/>
    <w:rsid w:val="00CF43D3"/>
    <w:rsid w:val="00CF4997"/>
    <w:rsid w:val="00CF7256"/>
    <w:rsid w:val="00CF75BB"/>
    <w:rsid w:val="00D03579"/>
    <w:rsid w:val="00D04FCE"/>
    <w:rsid w:val="00D11D9E"/>
    <w:rsid w:val="00D13247"/>
    <w:rsid w:val="00D1341B"/>
    <w:rsid w:val="00D13E31"/>
    <w:rsid w:val="00D16614"/>
    <w:rsid w:val="00D2127E"/>
    <w:rsid w:val="00D228D1"/>
    <w:rsid w:val="00D22DFA"/>
    <w:rsid w:val="00D24B8C"/>
    <w:rsid w:val="00D26AA8"/>
    <w:rsid w:val="00D27019"/>
    <w:rsid w:val="00D315DA"/>
    <w:rsid w:val="00D3317F"/>
    <w:rsid w:val="00D360BE"/>
    <w:rsid w:val="00D40BC5"/>
    <w:rsid w:val="00D40F06"/>
    <w:rsid w:val="00D44057"/>
    <w:rsid w:val="00D44B67"/>
    <w:rsid w:val="00D44E81"/>
    <w:rsid w:val="00D4599E"/>
    <w:rsid w:val="00D47576"/>
    <w:rsid w:val="00D479E8"/>
    <w:rsid w:val="00D542F2"/>
    <w:rsid w:val="00D5493C"/>
    <w:rsid w:val="00D56F9B"/>
    <w:rsid w:val="00D61162"/>
    <w:rsid w:val="00D61BD1"/>
    <w:rsid w:val="00D631BE"/>
    <w:rsid w:val="00D635C4"/>
    <w:rsid w:val="00D65D0C"/>
    <w:rsid w:val="00D66AE2"/>
    <w:rsid w:val="00D66B0F"/>
    <w:rsid w:val="00D671EA"/>
    <w:rsid w:val="00D72C3B"/>
    <w:rsid w:val="00D74180"/>
    <w:rsid w:val="00D744B4"/>
    <w:rsid w:val="00D7549F"/>
    <w:rsid w:val="00D77416"/>
    <w:rsid w:val="00D774D4"/>
    <w:rsid w:val="00D7757D"/>
    <w:rsid w:val="00D8023F"/>
    <w:rsid w:val="00D80950"/>
    <w:rsid w:val="00D8348B"/>
    <w:rsid w:val="00D868F2"/>
    <w:rsid w:val="00D86FDE"/>
    <w:rsid w:val="00D8757C"/>
    <w:rsid w:val="00D908D3"/>
    <w:rsid w:val="00D90C19"/>
    <w:rsid w:val="00D91C36"/>
    <w:rsid w:val="00D94AE6"/>
    <w:rsid w:val="00D94BB9"/>
    <w:rsid w:val="00D95048"/>
    <w:rsid w:val="00DA1AE4"/>
    <w:rsid w:val="00DA283C"/>
    <w:rsid w:val="00DA437B"/>
    <w:rsid w:val="00DA78D7"/>
    <w:rsid w:val="00DB0831"/>
    <w:rsid w:val="00DB1859"/>
    <w:rsid w:val="00DB1D37"/>
    <w:rsid w:val="00DB3A56"/>
    <w:rsid w:val="00DB6FE7"/>
    <w:rsid w:val="00DC1D00"/>
    <w:rsid w:val="00DC2A9F"/>
    <w:rsid w:val="00DC552D"/>
    <w:rsid w:val="00DC7B47"/>
    <w:rsid w:val="00DD1A5C"/>
    <w:rsid w:val="00DD1F41"/>
    <w:rsid w:val="00DD34E5"/>
    <w:rsid w:val="00DD3639"/>
    <w:rsid w:val="00DD4360"/>
    <w:rsid w:val="00DD6DD7"/>
    <w:rsid w:val="00DD6FD2"/>
    <w:rsid w:val="00DE1373"/>
    <w:rsid w:val="00DE21B5"/>
    <w:rsid w:val="00DE2EF0"/>
    <w:rsid w:val="00DE5A74"/>
    <w:rsid w:val="00DF0EBB"/>
    <w:rsid w:val="00DF22C3"/>
    <w:rsid w:val="00DF298C"/>
    <w:rsid w:val="00DF40A0"/>
    <w:rsid w:val="00DF4135"/>
    <w:rsid w:val="00DF5A45"/>
    <w:rsid w:val="00DF6369"/>
    <w:rsid w:val="00DF693A"/>
    <w:rsid w:val="00E0259E"/>
    <w:rsid w:val="00E0287C"/>
    <w:rsid w:val="00E0318A"/>
    <w:rsid w:val="00E04CC3"/>
    <w:rsid w:val="00E1000C"/>
    <w:rsid w:val="00E10BFF"/>
    <w:rsid w:val="00E1186D"/>
    <w:rsid w:val="00E1484A"/>
    <w:rsid w:val="00E152C9"/>
    <w:rsid w:val="00E2020D"/>
    <w:rsid w:val="00E21A06"/>
    <w:rsid w:val="00E2576F"/>
    <w:rsid w:val="00E30197"/>
    <w:rsid w:val="00E30704"/>
    <w:rsid w:val="00E30B21"/>
    <w:rsid w:val="00E344E1"/>
    <w:rsid w:val="00E34784"/>
    <w:rsid w:val="00E42B97"/>
    <w:rsid w:val="00E46AF8"/>
    <w:rsid w:val="00E47761"/>
    <w:rsid w:val="00E5409A"/>
    <w:rsid w:val="00E5458F"/>
    <w:rsid w:val="00E61333"/>
    <w:rsid w:val="00E6159D"/>
    <w:rsid w:val="00E62805"/>
    <w:rsid w:val="00E67AB7"/>
    <w:rsid w:val="00E743FC"/>
    <w:rsid w:val="00E760DC"/>
    <w:rsid w:val="00E772BA"/>
    <w:rsid w:val="00E80BCE"/>
    <w:rsid w:val="00E80EFF"/>
    <w:rsid w:val="00E81CF1"/>
    <w:rsid w:val="00E82532"/>
    <w:rsid w:val="00E855FA"/>
    <w:rsid w:val="00E85BD7"/>
    <w:rsid w:val="00E85F4F"/>
    <w:rsid w:val="00E87612"/>
    <w:rsid w:val="00E905AE"/>
    <w:rsid w:val="00E92ACD"/>
    <w:rsid w:val="00E974A2"/>
    <w:rsid w:val="00EA0415"/>
    <w:rsid w:val="00EA5AB5"/>
    <w:rsid w:val="00EA5D6A"/>
    <w:rsid w:val="00EA6950"/>
    <w:rsid w:val="00EB57E9"/>
    <w:rsid w:val="00EC05E9"/>
    <w:rsid w:val="00EC2A61"/>
    <w:rsid w:val="00EC2D7F"/>
    <w:rsid w:val="00EC614F"/>
    <w:rsid w:val="00EC6556"/>
    <w:rsid w:val="00ED1FD7"/>
    <w:rsid w:val="00ED3275"/>
    <w:rsid w:val="00ED3A25"/>
    <w:rsid w:val="00ED5234"/>
    <w:rsid w:val="00ED5C41"/>
    <w:rsid w:val="00EE1152"/>
    <w:rsid w:val="00EE2474"/>
    <w:rsid w:val="00EF28C5"/>
    <w:rsid w:val="00EF324E"/>
    <w:rsid w:val="00EF349C"/>
    <w:rsid w:val="00EF39B2"/>
    <w:rsid w:val="00EF39ED"/>
    <w:rsid w:val="00EF7E81"/>
    <w:rsid w:val="00F021CF"/>
    <w:rsid w:val="00F05B0F"/>
    <w:rsid w:val="00F1047D"/>
    <w:rsid w:val="00F12BB0"/>
    <w:rsid w:val="00F13DE3"/>
    <w:rsid w:val="00F13E79"/>
    <w:rsid w:val="00F16AF2"/>
    <w:rsid w:val="00F17BAE"/>
    <w:rsid w:val="00F2001D"/>
    <w:rsid w:val="00F20029"/>
    <w:rsid w:val="00F2201F"/>
    <w:rsid w:val="00F23852"/>
    <w:rsid w:val="00F24D86"/>
    <w:rsid w:val="00F318B8"/>
    <w:rsid w:val="00F323B7"/>
    <w:rsid w:val="00F33B15"/>
    <w:rsid w:val="00F341B8"/>
    <w:rsid w:val="00F417A3"/>
    <w:rsid w:val="00F42B7E"/>
    <w:rsid w:val="00F42EDB"/>
    <w:rsid w:val="00F44275"/>
    <w:rsid w:val="00F46C0C"/>
    <w:rsid w:val="00F5064E"/>
    <w:rsid w:val="00F55B72"/>
    <w:rsid w:val="00F6056C"/>
    <w:rsid w:val="00F60CB5"/>
    <w:rsid w:val="00F61581"/>
    <w:rsid w:val="00F62E7F"/>
    <w:rsid w:val="00F63BB9"/>
    <w:rsid w:val="00F658B9"/>
    <w:rsid w:val="00F67DBB"/>
    <w:rsid w:val="00F700AA"/>
    <w:rsid w:val="00F718B0"/>
    <w:rsid w:val="00F73A71"/>
    <w:rsid w:val="00F77D48"/>
    <w:rsid w:val="00F8293E"/>
    <w:rsid w:val="00F82BD4"/>
    <w:rsid w:val="00F84C94"/>
    <w:rsid w:val="00F90BB6"/>
    <w:rsid w:val="00F915D1"/>
    <w:rsid w:val="00F91939"/>
    <w:rsid w:val="00F93E86"/>
    <w:rsid w:val="00F9576D"/>
    <w:rsid w:val="00F95F0C"/>
    <w:rsid w:val="00F9732F"/>
    <w:rsid w:val="00FA0E7F"/>
    <w:rsid w:val="00FA3548"/>
    <w:rsid w:val="00FA4B38"/>
    <w:rsid w:val="00FA50EB"/>
    <w:rsid w:val="00FA6DC0"/>
    <w:rsid w:val="00FA7EB1"/>
    <w:rsid w:val="00FB1CEC"/>
    <w:rsid w:val="00FB419B"/>
    <w:rsid w:val="00FB46DC"/>
    <w:rsid w:val="00FB6F9F"/>
    <w:rsid w:val="00FB7A48"/>
    <w:rsid w:val="00FC12FE"/>
    <w:rsid w:val="00FC1489"/>
    <w:rsid w:val="00FC3441"/>
    <w:rsid w:val="00FD1ED3"/>
    <w:rsid w:val="00FD6C28"/>
    <w:rsid w:val="00FE1287"/>
    <w:rsid w:val="00FE310B"/>
    <w:rsid w:val="00FE39B9"/>
    <w:rsid w:val="00FE6AD7"/>
    <w:rsid w:val="00FF1BA9"/>
    <w:rsid w:val="00FF5290"/>
    <w:rsid w:val="00FF60DC"/>
    <w:rsid w:val="033E225D"/>
    <w:rsid w:val="03C84930"/>
    <w:rsid w:val="03DF7E09"/>
    <w:rsid w:val="046917C8"/>
    <w:rsid w:val="048320BB"/>
    <w:rsid w:val="04B563C2"/>
    <w:rsid w:val="05045994"/>
    <w:rsid w:val="05531A54"/>
    <w:rsid w:val="057767A8"/>
    <w:rsid w:val="05F92C68"/>
    <w:rsid w:val="06571B7A"/>
    <w:rsid w:val="06ED5AF7"/>
    <w:rsid w:val="077111CE"/>
    <w:rsid w:val="0772575A"/>
    <w:rsid w:val="07DA3A8F"/>
    <w:rsid w:val="089D7C92"/>
    <w:rsid w:val="09061EBF"/>
    <w:rsid w:val="09C92DD3"/>
    <w:rsid w:val="09CF6E4B"/>
    <w:rsid w:val="09FB33AC"/>
    <w:rsid w:val="0AC41E4E"/>
    <w:rsid w:val="0B6B045B"/>
    <w:rsid w:val="0B9C2483"/>
    <w:rsid w:val="0BD554C2"/>
    <w:rsid w:val="0D0E4F4C"/>
    <w:rsid w:val="0E7B4525"/>
    <w:rsid w:val="0F154B7E"/>
    <w:rsid w:val="100D77A5"/>
    <w:rsid w:val="10767327"/>
    <w:rsid w:val="11222BB4"/>
    <w:rsid w:val="11304CEB"/>
    <w:rsid w:val="11AF4DCB"/>
    <w:rsid w:val="12955111"/>
    <w:rsid w:val="12CC6E6D"/>
    <w:rsid w:val="13806E42"/>
    <w:rsid w:val="13A607E7"/>
    <w:rsid w:val="140E7482"/>
    <w:rsid w:val="1440520B"/>
    <w:rsid w:val="14737EE6"/>
    <w:rsid w:val="15627B30"/>
    <w:rsid w:val="166C0F73"/>
    <w:rsid w:val="16F2564D"/>
    <w:rsid w:val="17BC5001"/>
    <w:rsid w:val="183A0A1F"/>
    <w:rsid w:val="18A961DF"/>
    <w:rsid w:val="198C1D89"/>
    <w:rsid w:val="1B4D19EC"/>
    <w:rsid w:val="1B74013C"/>
    <w:rsid w:val="1C122C0C"/>
    <w:rsid w:val="1CFA34AD"/>
    <w:rsid w:val="1E0D2BED"/>
    <w:rsid w:val="1E591AD6"/>
    <w:rsid w:val="1F14499E"/>
    <w:rsid w:val="1F5B26C7"/>
    <w:rsid w:val="202820DF"/>
    <w:rsid w:val="203A4DF7"/>
    <w:rsid w:val="224109E7"/>
    <w:rsid w:val="22A144DF"/>
    <w:rsid w:val="22EB689E"/>
    <w:rsid w:val="2472310C"/>
    <w:rsid w:val="249C2E00"/>
    <w:rsid w:val="25CB3C39"/>
    <w:rsid w:val="266C1EC4"/>
    <w:rsid w:val="268B33C8"/>
    <w:rsid w:val="26CE5027"/>
    <w:rsid w:val="272F01F7"/>
    <w:rsid w:val="27F62AEE"/>
    <w:rsid w:val="28237D5C"/>
    <w:rsid w:val="2866365B"/>
    <w:rsid w:val="2B9D683D"/>
    <w:rsid w:val="2BDD6474"/>
    <w:rsid w:val="2C602C01"/>
    <w:rsid w:val="2CF23FA9"/>
    <w:rsid w:val="2DDE2C59"/>
    <w:rsid w:val="2E50057C"/>
    <w:rsid w:val="2F204A26"/>
    <w:rsid w:val="2F3045A4"/>
    <w:rsid w:val="2F567AA0"/>
    <w:rsid w:val="30043F67"/>
    <w:rsid w:val="309F5392"/>
    <w:rsid w:val="3161171F"/>
    <w:rsid w:val="319A28B2"/>
    <w:rsid w:val="3276083D"/>
    <w:rsid w:val="33905BDA"/>
    <w:rsid w:val="339B19D0"/>
    <w:rsid w:val="3508551A"/>
    <w:rsid w:val="35976176"/>
    <w:rsid w:val="359C0F7A"/>
    <w:rsid w:val="36FD3F9D"/>
    <w:rsid w:val="37776170"/>
    <w:rsid w:val="378B37C3"/>
    <w:rsid w:val="37BE57F0"/>
    <w:rsid w:val="383B0BDA"/>
    <w:rsid w:val="38F2725A"/>
    <w:rsid w:val="3941563D"/>
    <w:rsid w:val="39C037CE"/>
    <w:rsid w:val="3A86167D"/>
    <w:rsid w:val="3AE332B3"/>
    <w:rsid w:val="3B911029"/>
    <w:rsid w:val="3C8C247C"/>
    <w:rsid w:val="3D65545B"/>
    <w:rsid w:val="3E5B04D8"/>
    <w:rsid w:val="3E7C6D69"/>
    <w:rsid w:val="3F250179"/>
    <w:rsid w:val="3FA119B7"/>
    <w:rsid w:val="40177DE3"/>
    <w:rsid w:val="40976810"/>
    <w:rsid w:val="417A1877"/>
    <w:rsid w:val="41A73354"/>
    <w:rsid w:val="422711D3"/>
    <w:rsid w:val="432253DD"/>
    <w:rsid w:val="43501007"/>
    <w:rsid w:val="43863DDA"/>
    <w:rsid w:val="44092911"/>
    <w:rsid w:val="444939F2"/>
    <w:rsid w:val="45551365"/>
    <w:rsid w:val="46647214"/>
    <w:rsid w:val="467938A1"/>
    <w:rsid w:val="476F66C2"/>
    <w:rsid w:val="47C9565F"/>
    <w:rsid w:val="482809DA"/>
    <w:rsid w:val="4A0B7731"/>
    <w:rsid w:val="4A3A7537"/>
    <w:rsid w:val="4A9A751F"/>
    <w:rsid w:val="4AAE5753"/>
    <w:rsid w:val="4AB8212E"/>
    <w:rsid w:val="4AE10089"/>
    <w:rsid w:val="4B177614"/>
    <w:rsid w:val="4B3A3DE4"/>
    <w:rsid w:val="4B77032C"/>
    <w:rsid w:val="4B852596"/>
    <w:rsid w:val="4BC6794B"/>
    <w:rsid w:val="4BCA4DC2"/>
    <w:rsid w:val="4CC43F74"/>
    <w:rsid w:val="4D3806BD"/>
    <w:rsid w:val="4F1E5261"/>
    <w:rsid w:val="4FA56487"/>
    <w:rsid w:val="4FC44EDC"/>
    <w:rsid w:val="50997532"/>
    <w:rsid w:val="50BA4469"/>
    <w:rsid w:val="5100072F"/>
    <w:rsid w:val="52C12FB4"/>
    <w:rsid w:val="53097B05"/>
    <w:rsid w:val="533267F6"/>
    <w:rsid w:val="535B5D4C"/>
    <w:rsid w:val="53866EE0"/>
    <w:rsid w:val="538F587F"/>
    <w:rsid w:val="544E2FF3"/>
    <w:rsid w:val="551E7F0E"/>
    <w:rsid w:val="55B95F2B"/>
    <w:rsid w:val="55D63612"/>
    <w:rsid w:val="55D9538F"/>
    <w:rsid w:val="55F65296"/>
    <w:rsid w:val="56B137E7"/>
    <w:rsid w:val="5737087F"/>
    <w:rsid w:val="57435475"/>
    <w:rsid w:val="59654F1B"/>
    <w:rsid w:val="5A650D5A"/>
    <w:rsid w:val="5A8E6B50"/>
    <w:rsid w:val="5B526E3B"/>
    <w:rsid w:val="5D176670"/>
    <w:rsid w:val="5E7151D4"/>
    <w:rsid w:val="5EFB5FCF"/>
    <w:rsid w:val="60976762"/>
    <w:rsid w:val="615674ED"/>
    <w:rsid w:val="61744EA1"/>
    <w:rsid w:val="620969A3"/>
    <w:rsid w:val="637048DB"/>
    <w:rsid w:val="64AA146F"/>
    <w:rsid w:val="65112D1F"/>
    <w:rsid w:val="65335497"/>
    <w:rsid w:val="65D76172"/>
    <w:rsid w:val="664872BC"/>
    <w:rsid w:val="66652D12"/>
    <w:rsid w:val="66C77325"/>
    <w:rsid w:val="68931D4F"/>
    <w:rsid w:val="68C6406F"/>
    <w:rsid w:val="6A1638AD"/>
    <w:rsid w:val="6B4551DF"/>
    <w:rsid w:val="6B5569D4"/>
    <w:rsid w:val="6B9E2823"/>
    <w:rsid w:val="6C7B77BD"/>
    <w:rsid w:val="6C992C34"/>
    <w:rsid w:val="6CA95923"/>
    <w:rsid w:val="6D756958"/>
    <w:rsid w:val="6E7944E8"/>
    <w:rsid w:val="71773FD0"/>
    <w:rsid w:val="718B3849"/>
    <w:rsid w:val="71D451F0"/>
    <w:rsid w:val="726148AD"/>
    <w:rsid w:val="73656E86"/>
    <w:rsid w:val="7377015A"/>
    <w:rsid w:val="73852C46"/>
    <w:rsid w:val="739D2BFF"/>
    <w:rsid w:val="73F84930"/>
    <w:rsid w:val="7499562C"/>
    <w:rsid w:val="74D65A62"/>
    <w:rsid w:val="75A01A91"/>
    <w:rsid w:val="75A62E64"/>
    <w:rsid w:val="75BB53FD"/>
    <w:rsid w:val="75E96582"/>
    <w:rsid w:val="761146D7"/>
    <w:rsid w:val="76470CAA"/>
    <w:rsid w:val="764D1082"/>
    <w:rsid w:val="766F2799"/>
    <w:rsid w:val="773B6256"/>
    <w:rsid w:val="77F27337"/>
    <w:rsid w:val="78486E90"/>
    <w:rsid w:val="79D833A4"/>
    <w:rsid w:val="7BF3685D"/>
    <w:rsid w:val="7D07233B"/>
    <w:rsid w:val="7D1666BD"/>
    <w:rsid w:val="7D40391F"/>
    <w:rsid w:val="7DA43CC8"/>
    <w:rsid w:val="7DF96BCA"/>
    <w:rsid w:val="7E1251F4"/>
    <w:rsid w:val="7E6416AA"/>
    <w:rsid w:val="7EE66F59"/>
    <w:rsid w:val="7F1A6E76"/>
    <w:rsid w:val="7F1F783D"/>
    <w:rsid w:val="7FAF396D"/>
    <w:rsid w:val="E46DF715"/>
    <w:rsid w:val="EBBBE663"/>
    <w:rsid w:val="F5D501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1" w:semiHidden="0" w:name="heading 3"/>
    <w:lsdException w:qFormat="1" w:uiPriority="1" w:semiHidden="0" w:name="heading 4"/>
    <w:lsdException w:qFormat="1"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4">
    <w:name w:val="heading 1"/>
    <w:basedOn w:val="1"/>
    <w:next w:val="1"/>
    <w:qFormat/>
    <w:uiPriority w:val="1"/>
    <w:pPr>
      <w:keepNext/>
      <w:keepLines/>
      <w:spacing w:before="340" w:after="330" w:line="576" w:lineRule="auto"/>
      <w:outlineLvl w:val="0"/>
    </w:pPr>
    <w:rPr>
      <w:b/>
      <w:kern w:val="44"/>
      <w:sz w:val="44"/>
    </w:rPr>
  </w:style>
  <w:style w:type="paragraph" w:styleId="5">
    <w:name w:val="heading 2"/>
    <w:basedOn w:val="1"/>
    <w:next w:val="1"/>
    <w:link w:val="30"/>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paragraph" w:styleId="6">
    <w:name w:val="heading 3"/>
    <w:basedOn w:val="1"/>
    <w:next w:val="1"/>
    <w:unhideWhenUsed/>
    <w:qFormat/>
    <w:uiPriority w:val="1"/>
    <w:pPr>
      <w:keepNext/>
      <w:keepLines/>
      <w:spacing w:before="260" w:after="260" w:line="413" w:lineRule="auto"/>
      <w:outlineLvl w:val="2"/>
    </w:pPr>
    <w:rPr>
      <w:b/>
      <w:sz w:val="32"/>
    </w:rPr>
  </w:style>
  <w:style w:type="paragraph" w:styleId="7">
    <w:name w:val="heading 4"/>
    <w:basedOn w:val="1"/>
    <w:next w:val="1"/>
    <w:link w:val="35"/>
    <w:unhideWhenUsed/>
    <w:qFormat/>
    <w:uiPriority w:val="1"/>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8">
    <w:name w:val="heading 5"/>
    <w:basedOn w:val="1"/>
    <w:next w:val="1"/>
    <w:link w:val="33"/>
    <w:unhideWhenUsed/>
    <w:qFormat/>
    <w:uiPriority w:val="1"/>
    <w:pPr>
      <w:keepNext/>
      <w:keepLines/>
      <w:spacing w:before="280" w:after="290" w:line="376" w:lineRule="auto"/>
      <w:outlineLvl w:val="4"/>
    </w:pPr>
    <w:rPr>
      <w:b/>
      <w:bCs/>
      <w:sz w:val="28"/>
      <w:szCs w:val="28"/>
    </w:rPr>
  </w:style>
  <w:style w:type="character" w:default="1" w:styleId="21">
    <w:name w:val="Default Paragraph Font"/>
    <w:unhideWhenUsed/>
    <w:qFormat/>
    <w:uiPriority w:val="1"/>
  </w:style>
  <w:style w:type="table" w:default="1" w:styleId="19">
    <w:name w:val="Normal Table"/>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9">
    <w:name w:val="Normal Indent"/>
    <w:basedOn w:val="1"/>
    <w:next w:val="10"/>
    <w:qFormat/>
    <w:uiPriority w:val="0"/>
    <w:pPr>
      <w:spacing w:line="360" w:lineRule="auto"/>
      <w:ind w:firstLine="420" w:firstLineChars="200"/>
      <w:jc w:val="left"/>
    </w:pPr>
    <w:rPr>
      <w:rFonts w:ascii="仿宋_GB2312" w:hAnsi="Arial" w:eastAsia="仿宋_GB2312"/>
      <w:kern w:val="0"/>
      <w:sz w:val="30"/>
      <w:szCs w:val="30"/>
    </w:rPr>
  </w:style>
  <w:style w:type="paragraph" w:styleId="10">
    <w:name w:val="Body Text"/>
    <w:basedOn w:val="1"/>
    <w:link w:val="34"/>
    <w:unhideWhenUsed/>
    <w:qFormat/>
    <w:uiPriority w:val="1"/>
    <w:pPr>
      <w:spacing w:after="120"/>
    </w:pPr>
  </w:style>
  <w:style w:type="paragraph" w:styleId="11">
    <w:name w:val="annotation text"/>
    <w:basedOn w:val="1"/>
    <w:link w:val="26"/>
    <w:unhideWhenUsed/>
    <w:qFormat/>
    <w:uiPriority w:val="99"/>
    <w:pPr>
      <w:jc w:val="left"/>
    </w:pPr>
  </w:style>
  <w:style w:type="paragraph" w:styleId="12">
    <w:name w:val="Balloon Text"/>
    <w:basedOn w:val="1"/>
    <w:link w:val="36"/>
    <w:unhideWhenUsed/>
    <w:qFormat/>
    <w:uiPriority w:val="99"/>
    <w:rPr>
      <w:sz w:val="18"/>
      <w:szCs w:val="18"/>
    </w:rPr>
  </w:style>
  <w:style w:type="paragraph" w:styleId="13">
    <w:name w:val="footer"/>
    <w:basedOn w:val="1"/>
    <w:link w:val="2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toc 1"/>
    <w:basedOn w:val="1"/>
    <w:next w:val="1"/>
    <w:unhideWhenUsed/>
    <w:qFormat/>
    <w:uiPriority w:val="39"/>
    <w:pPr>
      <w:tabs>
        <w:tab w:val="right" w:leader="dot" w:pos="8714"/>
      </w:tabs>
      <w:spacing w:before="60" w:line="360" w:lineRule="auto"/>
      <w:ind w:left="200" w:leftChars="200"/>
      <w:jc w:val="left"/>
    </w:pPr>
    <w:rPr>
      <w:rFonts w:eastAsia="Helvetica" w:cs="Courier"/>
      <w:bCs/>
      <w:caps/>
      <w:sz w:val="30"/>
      <w:szCs w:val="20"/>
    </w:rPr>
  </w:style>
  <w:style w:type="paragraph" w:styleId="16">
    <w:name w:val="Subtitle"/>
    <w:basedOn w:val="1"/>
    <w:next w:val="1"/>
    <w:link w:val="29"/>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7">
    <w:name w:val="toc 2"/>
    <w:basedOn w:val="1"/>
    <w:next w:val="1"/>
    <w:unhideWhenUsed/>
    <w:qFormat/>
    <w:uiPriority w:val="39"/>
    <w:pPr>
      <w:tabs>
        <w:tab w:val="right" w:leader="dot" w:pos="8714"/>
      </w:tabs>
      <w:spacing w:line="360" w:lineRule="auto"/>
      <w:ind w:left="350" w:leftChars="350"/>
      <w:jc w:val="left"/>
    </w:pPr>
    <w:rPr>
      <w:rFonts w:eastAsia="Tms Rmn" w:cs="Courier"/>
      <w:smallCaps/>
      <w:sz w:val="30"/>
      <w:szCs w:val="20"/>
    </w:rPr>
  </w:style>
  <w:style w:type="paragraph" w:styleId="18">
    <w:name w:val="annotation subject"/>
    <w:basedOn w:val="11"/>
    <w:next w:val="11"/>
    <w:link w:val="27"/>
    <w:unhideWhenUsed/>
    <w:qFormat/>
    <w:uiPriority w:val="99"/>
    <w:rPr>
      <w:b/>
      <w:bCs/>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563C1" w:themeColor="hyperlink"/>
      <w:u w:val="single"/>
      <w14:textFill>
        <w14:solidFill>
          <w14:schemeClr w14:val="hlink"/>
        </w14:solidFill>
      </w14:textFill>
    </w:rPr>
  </w:style>
  <w:style w:type="character" w:styleId="23">
    <w:name w:val="annotation reference"/>
    <w:basedOn w:val="21"/>
    <w:unhideWhenUsed/>
    <w:qFormat/>
    <w:uiPriority w:val="99"/>
    <w:rPr>
      <w:sz w:val="21"/>
      <w:szCs w:val="21"/>
    </w:rPr>
  </w:style>
  <w:style w:type="character" w:customStyle="1" w:styleId="24">
    <w:name w:val="页眉 Char"/>
    <w:basedOn w:val="21"/>
    <w:link w:val="14"/>
    <w:qFormat/>
    <w:uiPriority w:val="99"/>
    <w:rPr>
      <w:sz w:val="18"/>
      <w:szCs w:val="18"/>
    </w:rPr>
  </w:style>
  <w:style w:type="character" w:customStyle="1" w:styleId="25">
    <w:name w:val="页脚 Char"/>
    <w:basedOn w:val="21"/>
    <w:link w:val="13"/>
    <w:qFormat/>
    <w:uiPriority w:val="99"/>
    <w:rPr>
      <w:sz w:val="18"/>
      <w:szCs w:val="18"/>
    </w:rPr>
  </w:style>
  <w:style w:type="character" w:customStyle="1" w:styleId="26">
    <w:name w:val="批注文字 Char"/>
    <w:basedOn w:val="21"/>
    <w:link w:val="11"/>
    <w:qFormat/>
    <w:uiPriority w:val="99"/>
    <w:rPr>
      <w:rFonts w:ascii="Times New Roman" w:hAnsi="Times New Roman" w:eastAsia="Courier New" w:cs="Times New Roman"/>
      <w:szCs w:val="21"/>
    </w:rPr>
  </w:style>
  <w:style w:type="character" w:customStyle="1" w:styleId="27">
    <w:name w:val="批注主题 Char"/>
    <w:basedOn w:val="26"/>
    <w:link w:val="18"/>
    <w:semiHidden/>
    <w:qFormat/>
    <w:uiPriority w:val="99"/>
    <w:rPr>
      <w:rFonts w:ascii="Times New Roman" w:hAnsi="Times New Roman" w:eastAsia="Courier New" w:cs="Times New Roman"/>
      <w:b/>
      <w:bCs/>
      <w:szCs w:val="21"/>
    </w:rPr>
  </w:style>
  <w:style w:type="paragraph" w:customStyle="1" w:styleId="28">
    <w:name w:val="独立格式"/>
    <w:basedOn w:val="16"/>
    <w:qFormat/>
    <w:uiPriority w:val="1"/>
    <w:pPr>
      <w:spacing w:before="0" w:after="0" w:line="360" w:lineRule="auto"/>
      <w:outlineLvl w:val="9"/>
    </w:pPr>
    <w:rPr>
      <w:rFonts w:ascii="Times New Roman" w:hAnsi="Times New Roman" w:eastAsia="Tms Rmn" w:cs="Times New Roman"/>
      <w:b w:val="0"/>
      <w:bCs w:val="0"/>
      <w:kern w:val="2"/>
      <w:szCs w:val="52"/>
    </w:rPr>
  </w:style>
  <w:style w:type="character" w:customStyle="1" w:styleId="29">
    <w:name w:val="副标题 Char"/>
    <w:basedOn w:val="21"/>
    <w:link w:val="16"/>
    <w:qFormat/>
    <w:uiPriority w:val="11"/>
    <w:rPr>
      <w:b/>
      <w:bCs/>
      <w:kern w:val="28"/>
      <w:sz w:val="32"/>
      <w:szCs w:val="32"/>
    </w:rPr>
  </w:style>
  <w:style w:type="character" w:customStyle="1" w:styleId="30">
    <w:name w:val="标题 2 Char"/>
    <w:basedOn w:val="21"/>
    <w:link w:val="5"/>
    <w:qFormat/>
    <w:uiPriority w:val="9"/>
    <w:rPr>
      <w:rFonts w:ascii="Arial" w:hAnsi="Arial" w:eastAsia="Symbol" w:cs="Times New Roman"/>
      <w:b/>
      <w:bCs/>
      <w:sz w:val="32"/>
      <w:szCs w:val="32"/>
    </w:rPr>
  </w:style>
  <w:style w:type="paragraph" w:customStyle="1" w:styleId="31">
    <w:name w:val="表格名称"/>
    <w:basedOn w:val="1"/>
    <w:qFormat/>
    <w:uiPriority w:val="0"/>
    <w:pPr>
      <w:spacing w:line="360" w:lineRule="auto"/>
      <w:jc w:val="center"/>
    </w:pPr>
    <w:rPr>
      <w:rFonts w:eastAsia="Helv" w:cs="New York"/>
      <w:b/>
      <w:sz w:val="24"/>
      <w:szCs w:val="24"/>
    </w:rPr>
  </w:style>
  <w:style w:type="paragraph" w:customStyle="1" w:styleId="32">
    <w:name w:val="表格文字"/>
    <w:basedOn w:val="28"/>
    <w:next w:val="1"/>
    <w:qFormat/>
    <w:uiPriority w:val="0"/>
    <w:pPr>
      <w:spacing w:line="360" w:lineRule="exact"/>
    </w:pPr>
    <w:rPr>
      <w:rFonts w:eastAsia="Helv" w:cs="New York"/>
      <w:sz w:val="24"/>
    </w:rPr>
  </w:style>
  <w:style w:type="character" w:customStyle="1" w:styleId="33">
    <w:name w:val="标题 5 Char"/>
    <w:basedOn w:val="21"/>
    <w:link w:val="8"/>
    <w:semiHidden/>
    <w:qFormat/>
    <w:uiPriority w:val="9"/>
    <w:rPr>
      <w:rFonts w:ascii="Times New Roman" w:hAnsi="Times New Roman" w:eastAsia="Courier New" w:cs="Times New Roman"/>
      <w:b/>
      <w:bCs/>
      <w:sz w:val="28"/>
      <w:szCs w:val="28"/>
    </w:rPr>
  </w:style>
  <w:style w:type="character" w:customStyle="1" w:styleId="34">
    <w:name w:val="正文文本 Char"/>
    <w:basedOn w:val="21"/>
    <w:link w:val="10"/>
    <w:semiHidden/>
    <w:qFormat/>
    <w:uiPriority w:val="99"/>
    <w:rPr>
      <w:rFonts w:ascii="Times New Roman" w:hAnsi="Times New Roman" w:eastAsia="Courier New" w:cs="Times New Roman"/>
      <w:szCs w:val="21"/>
    </w:rPr>
  </w:style>
  <w:style w:type="character" w:customStyle="1" w:styleId="35">
    <w:name w:val="标题 4 Char"/>
    <w:basedOn w:val="21"/>
    <w:link w:val="7"/>
    <w:semiHidden/>
    <w:qFormat/>
    <w:uiPriority w:val="9"/>
    <w:rPr>
      <w:rFonts w:asciiTheme="majorHAnsi" w:hAnsiTheme="majorHAnsi" w:eastAsiaTheme="majorEastAsia" w:cstheme="majorBidi"/>
      <w:b/>
      <w:bCs/>
      <w:sz w:val="28"/>
      <w:szCs w:val="28"/>
    </w:rPr>
  </w:style>
  <w:style w:type="character" w:customStyle="1" w:styleId="36">
    <w:name w:val="批注框文本 Char"/>
    <w:basedOn w:val="21"/>
    <w:link w:val="12"/>
    <w:semiHidden/>
    <w:qFormat/>
    <w:uiPriority w:val="99"/>
    <w:rPr>
      <w:rFonts w:ascii="Times New Roman" w:hAnsi="Times New Roman" w:eastAsia="Courier New" w:cs="Times New Roman"/>
      <w:kern w:val="2"/>
      <w:sz w:val="18"/>
      <w:szCs w:val="18"/>
    </w:rPr>
  </w:style>
  <w:style w:type="table" w:customStyle="1" w:styleId="37">
    <w:name w:val="Table Normal"/>
    <w:unhideWhenUsed/>
    <w:qFormat/>
    <w:uiPriority w:val="2"/>
    <w:tblPr>
      <w:tblCellMar>
        <w:top w:w="0" w:type="dxa"/>
        <w:left w:w="0" w:type="dxa"/>
        <w:bottom w:w="0" w:type="dxa"/>
        <w:right w:w="0" w:type="dxa"/>
      </w:tblCellMar>
    </w:tblPr>
  </w:style>
  <w:style w:type="paragraph" w:customStyle="1" w:styleId="38">
    <w:name w:val="List Paragraph"/>
    <w:basedOn w:val="1"/>
    <w:qFormat/>
    <w:uiPriority w:val="1"/>
    <w:pPr>
      <w:autoSpaceDE w:val="0"/>
      <w:autoSpaceDN w:val="0"/>
      <w:ind w:left="109" w:right="99" w:firstLine="641"/>
      <w:jc w:val="left"/>
    </w:pPr>
    <w:rPr>
      <w:rFonts w:ascii="Arial Unicode MS" w:hAnsi="Arial Unicode MS" w:eastAsia="Arial Unicode MS" w:cs="Arial Unicode MS"/>
      <w:kern w:val="0"/>
      <w:sz w:val="22"/>
      <w:szCs w:val="22"/>
      <w:lang w:eastAsia="en-US"/>
    </w:rPr>
  </w:style>
  <w:style w:type="paragraph" w:customStyle="1" w:styleId="39">
    <w:name w:val="Table Paragraph"/>
    <w:basedOn w:val="1"/>
    <w:qFormat/>
    <w:uiPriority w:val="1"/>
    <w:pPr>
      <w:autoSpaceDE w:val="0"/>
      <w:autoSpaceDN w:val="0"/>
      <w:jc w:val="left"/>
    </w:pPr>
    <w:rPr>
      <w:rFonts w:ascii="宋体" w:hAnsi="宋体" w:eastAsia="宋体" w:cs="宋体"/>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9579;&#27606;&#29723;\02-&#21253;&#22836;&#24066;&#31532;&#20843;&#21307;&#38498;\24-&#39044;&#20915;&#31639;&#20844;&#24320;\&#20851;&#20110;&#20570;&#22909;2025&#39044;&#31639;&#20844;&#24320;&#24037;&#20316;&#30340;&#36890;&#30693;\&#39292;&#22270;&#27169;&#29256;.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9579;&#27606;&#29723;\02-&#21253;&#22836;&#24066;&#31532;&#20843;&#21307;&#38498;\24-&#39044;&#20915;&#31639;&#20844;&#24320;\&#20851;&#20110;&#20570;&#22909;2025&#39044;&#31639;&#20844;&#24320;&#24037;&#20316;&#30340;&#36890;&#30693;\&#39292;&#22270;&#27169;&#29256;.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9579;&#27606;&#29723;\02-&#21253;&#22836;&#24066;&#31532;&#20843;&#21307;&#38498;\24-&#39044;&#20915;&#31639;&#20844;&#24320;\&#20851;&#20110;&#20570;&#22909;2025&#39044;&#31639;&#20844;&#24320;&#24037;&#20316;&#30340;&#36890;&#30693;\&#39292;&#22270;&#27169;&#29256;.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9579;&#27606;&#29723;\02-&#21253;&#22836;&#24066;&#31532;&#20843;&#21307;&#38498;\24-&#39044;&#20915;&#31639;&#20844;&#24320;\&#20851;&#20110;&#20570;&#22909;2025&#39044;&#31639;&#20844;&#24320;&#24037;&#20316;&#30340;&#36890;&#30693;\&#39292;&#22270;&#27169;&#2925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预算收入对比图</a:t>
            </a:r>
          </a:p>
        </c:rich>
      </c:tx>
      <c:layout/>
      <c:overlay val="0"/>
      <c:spPr>
        <a:noFill/>
        <a:ln>
          <a:noFill/>
        </a:ln>
        <a:effectLst/>
      </c:spPr>
    </c:title>
    <c:autoTitleDeleted val="0"/>
    <c:plotArea>
      <c:layout/>
      <c:barChart>
        <c:barDir val="col"/>
        <c:grouping val="clustered"/>
        <c:varyColors val="0"/>
        <c:ser>
          <c:idx val="0"/>
          <c:order val="0"/>
          <c:tx>
            <c:strRef>
              <c:f>[饼图模版.xlsx]Sheet1!$A$4</c:f>
              <c:strCache>
                <c:ptCount val="1"/>
                <c:pt idx="0">
                  <c:v>2024年</c:v>
                </c:pt>
              </c:strCache>
            </c:strRef>
          </c:tx>
          <c:spPr>
            <a:solidFill>
              <a:schemeClr val="accent1"/>
            </a:solidFill>
            <a:ln>
              <a:noFill/>
            </a:ln>
            <a:effectLst/>
          </c:spPr>
          <c:invertIfNegative val="0"/>
          <c:dLbls>
            <c:dLbl>
              <c:idx val="0"/>
              <c:layout>
                <c:manualLayout>
                  <c:x val="-0.021710526315789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[饼图模版.xlsx]Sheet1!$B$1:$D$3</c:f>
              <c:multiLvlStrCache>
                <c:ptCount val="3"/>
                <c:lvl>
                  <c:pt idx="0">
                    <c:v>一般公共预算拨款收入</c:v>
                  </c:pt>
                  <c:pt idx="1">
                    <c:v>事业收入</c:v>
                  </c:pt>
                  <c:pt idx="2">
                    <c:v>上年结转结余</c:v>
                  </c:pt>
                </c:lvl>
                <c:lvl/>
                <c:lvl/>
              </c:multiLvlStrCache>
            </c:multiLvlStrRef>
          </c:cat>
          <c:val>
            <c:numRef>
              <c:f>[饼图模版.xlsx]Sheet1!$B$4:$D$4</c:f>
              <c:numCache>
                <c:formatCode>0.00_ </c:formatCode>
                <c:ptCount val="3"/>
                <c:pt idx="0">
                  <c:v>6464.281847</c:v>
                </c:pt>
                <c:pt idx="1">
                  <c:v>26330.621272</c:v>
                </c:pt>
                <c:pt idx="2">
                  <c:v>55.347427</c:v>
                </c:pt>
              </c:numCache>
            </c:numRef>
          </c:val>
        </c:ser>
        <c:ser>
          <c:idx val="1"/>
          <c:order val="1"/>
          <c:tx>
            <c:strRef>
              <c:f>[饼图模版.xlsx]Sheet1!$A$5</c:f>
              <c:strCache>
                <c:ptCount val="1"/>
                <c:pt idx="0">
                  <c:v>2025年</c:v>
                </c:pt>
              </c:strCache>
            </c:strRef>
          </c:tx>
          <c:spPr>
            <a:solidFill>
              <a:schemeClr val="accent2"/>
            </a:solidFill>
            <a:ln>
              <a:noFill/>
            </a:ln>
            <a:effectLst/>
          </c:spPr>
          <c:invertIfNegative val="0"/>
          <c:dLbls>
            <c:dLbl>
              <c:idx val="0"/>
              <c:layout>
                <c:manualLayout>
                  <c:x val="0.0138157894736842"/>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8157894736842"/>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[饼图模版.xlsx]Sheet1!$B$1:$D$3</c:f>
              <c:multiLvlStrCache>
                <c:ptCount val="3"/>
                <c:lvl>
                  <c:pt idx="0">
                    <c:v>一般公共预算拨款收入</c:v>
                  </c:pt>
                  <c:pt idx="1">
                    <c:v>事业收入</c:v>
                  </c:pt>
                  <c:pt idx="2">
                    <c:v>上年结转结余</c:v>
                  </c:pt>
                </c:lvl>
                <c:lvl/>
                <c:lvl/>
              </c:multiLvlStrCache>
            </c:multiLvlStrRef>
          </c:cat>
          <c:val>
            <c:numRef>
              <c:f>[饼图模版.xlsx]Sheet1!$B$5:$D$5</c:f>
              <c:numCache>
                <c:formatCode>0.00_ </c:formatCode>
                <c:ptCount val="3"/>
                <c:pt idx="0">
                  <c:v>6258.457214</c:v>
                </c:pt>
                <c:pt idx="1">
                  <c:v>17154.419173</c:v>
                </c:pt>
                <c:pt idx="2">
                  <c:v>0</c:v>
                </c:pt>
              </c:numCache>
            </c:numRef>
          </c:val>
        </c:ser>
        <c:dLbls>
          <c:showLegendKey val="0"/>
          <c:showVal val="1"/>
          <c:showCatName val="0"/>
          <c:showSerName val="0"/>
          <c:showPercent val="0"/>
          <c:showBubbleSize val="0"/>
        </c:dLbls>
        <c:gapWidth val="246"/>
        <c:overlap val="-28"/>
        <c:axId val="405307477"/>
        <c:axId val="29158737"/>
      </c:barChart>
      <c:catAx>
        <c:axId val="4053074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58737"/>
        <c:crosses val="autoZero"/>
        <c:auto val="1"/>
        <c:lblAlgn val="ctr"/>
        <c:lblOffset val="100"/>
        <c:noMultiLvlLbl val="0"/>
      </c:catAx>
      <c:valAx>
        <c:axId val="29158737"/>
        <c:scaling>
          <c:orientation val="minMax"/>
        </c:scaling>
        <c:delete val="0"/>
        <c:axPos val="l"/>
        <c:majorGridlines>
          <c:spPr>
            <a:ln w="9525" cap="flat" cmpd="sng" algn="ctr">
              <a:solidFill>
                <a:schemeClr val="lt1">
                  <a:lumMod val="902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53074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6a1da0f-ab0d-4a2a-9b18-6c1301684f7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预算支出对比图</a:t>
            </a:r>
          </a:p>
        </c:rich>
      </c:tx>
      <c:layout/>
      <c:overlay val="0"/>
      <c:spPr>
        <a:noFill/>
        <a:ln>
          <a:noFill/>
        </a:ln>
        <a:effectLst/>
      </c:spPr>
    </c:title>
    <c:autoTitleDeleted val="0"/>
    <c:plotArea>
      <c:layout/>
      <c:barChart>
        <c:barDir val="col"/>
        <c:grouping val="clustered"/>
        <c:varyColors val="0"/>
        <c:ser>
          <c:idx val="0"/>
          <c:order val="0"/>
          <c:tx>
            <c:strRef>
              <c:f>[饼图模版.xlsx]Sheet1!$F$4</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[饼图模版.xlsx]Sheet1!$G$3:$H$3</c:f>
              <c:strCache>
                <c:ptCount val="2"/>
                <c:pt idx="0">
                  <c:v>基本支出</c:v>
                </c:pt>
                <c:pt idx="1">
                  <c:v>项目支出</c:v>
                </c:pt>
              </c:strCache>
            </c:strRef>
          </c:cat>
          <c:val>
            <c:numRef>
              <c:f>[饼图模版.xlsx]Sheet1!$G$4:$H$4</c:f>
              <c:numCache>
                <c:formatCode>General</c:formatCode>
                <c:ptCount val="2"/>
                <c:pt idx="0">
                  <c:v>9016.92</c:v>
                </c:pt>
                <c:pt idx="1">
                  <c:v>23833.33</c:v>
                </c:pt>
              </c:numCache>
            </c:numRef>
          </c:val>
        </c:ser>
        <c:ser>
          <c:idx val="1"/>
          <c:order val="1"/>
          <c:tx>
            <c:strRef>
              <c:f>[饼图模版.xlsx]Sheet1!$F$5</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[饼图模版.xlsx]Sheet1!$G$3:$H$3</c:f>
              <c:strCache>
                <c:ptCount val="2"/>
                <c:pt idx="0">
                  <c:v>基本支出</c:v>
                </c:pt>
                <c:pt idx="1">
                  <c:v>项目支出</c:v>
                </c:pt>
              </c:strCache>
            </c:strRef>
          </c:cat>
          <c:val>
            <c:numRef>
              <c:f>[饼图模版.xlsx]Sheet1!$G$5:$H$5</c:f>
              <c:numCache>
                <c:formatCode>General</c:formatCode>
                <c:ptCount val="2"/>
                <c:pt idx="0">
                  <c:v>8762.67</c:v>
                </c:pt>
                <c:pt idx="1">
                  <c:v>14650.21</c:v>
                </c:pt>
              </c:numCache>
            </c:numRef>
          </c:val>
        </c:ser>
        <c:dLbls>
          <c:showLegendKey val="0"/>
          <c:showVal val="1"/>
          <c:showCatName val="0"/>
          <c:showSerName val="0"/>
          <c:showPercent val="0"/>
          <c:showBubbleSize val="0"/>
        </c:dLbls>
        <c:gapWidth val="246"/>
        <c:overlap val="-28"/>
        <c:axId val="880891404"/>
        <c:axId val="467616187"/>
      </c:barChart>
      <c:catAx>
        <c:axId val="8808914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616187"/>
        <c:crosses val="autoZero"/>
        <c:auto val="1"/>
        <c:lblAlgn val="ctr"/>
        <c:lblOffset val="100"/>
        <c:noMultiLvlLbl val="0"/>
      </c:catAx>
      <c:valAx>
        <c:axId val="46761618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08914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9dc01e-6cd7-46e5-80e9-998e705008e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预算收入占比图</a:t>
            </a:r>
          </a:p>
          <a:p>
            <a:pPr defTabSz="914400">
              <a:defRPr lang="zh-CN" sz="1400" b="1" i="0" u="none" strike="noStrike" kern="1200" baseline="0">
                <a:solidFill>
                  <a:schemeClr val="tx1">
                    <a:lumMod val="75000"/>
                    <a:lumOff val="25000"/>
                  </a:schemeClr>
                </a:solidFill>
                <a:latin typeface="+mn-lt"/>
                <a:ea typeface="+mn-ea"/>
                <a:cs typeface="+mn-cs"/>
              </a:defRPr>
            </a:pPr>
          </a:p>
        </c:rich>
      </c:tx>
      <c:layout>
        <c:manualLayout>
          <c:xMode val="edge"/>
          <c:yMode val="edge"/>
          <c:x val="0.295832498497295"/>
          <c:y val="0.0361702127659574"/>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[饼图模版.xlsx]Sheet1!$P$3:$Q$3</c:f>
              <c:strCache>
                <c:ptCount val="2"/>
                <c:pt idx="0">
                  <c:v>一般公共预算收入</c:v>
                </c:pt>
                <c:pt idx="1">
                  <c:v>事业收入</c:v>
                </c:pt>
              </c:strCache>
            </c:strRef>
          </c:cat>
          <c:val>
            <c:numRef>
              <c:f>[饼图模版.xlsx]Sheet1!$P$4:$Q$4</c:f>
              <c:numCache>
                <c:formatCode>General</c:formatCode>
                <c:ptCount val="2"/>
                <c:pt idx="0">
                  <c:v>17154.42</c:v>
                </c:pt>
                <c:pt idx="1">
                  <c:v>6258.46</c:v>
                </c:pt>
              </c:numCache>
            </c:numRef>
          </c:val>
        </c:ser>
        <c:ser>
          <c:idx val="1"/>
          <c:order val="1"/>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[饼图模版.xlsx]Sheet1!$P$3:$Q$3</c:f>
              <c:strCache>
                <c:ptCount val="2"/>
                <c:pt idx="0">
                  <c:v>一般公共预算收入</c:v>
                </c:pt>
                <c:pt idx="1">
                  <c:v>事业收入</c:v>
                </c:pt>
              </c:strCache>
            </c:strRef>
          </c:cat>
          <c:val>
            <c:numRef>
              <c:f>[饼图模版.xlsx]Sheet1!$P$5:$Q$5</c:f>
              <c:numCache>
                <c:formatCode>0.00%</c:formatCode>
                <c:ptCount val="2"/>
                <c:pt idx="0">
                  <c:v>0.7327</c:v>
                </c:pt>
                <c:pt idx="1">
                  <c:v>0.2673</c:v>
                </c:pt>
              </c:numCache>
            </c:numRef>
          </c:val>
        </c:ser>
        <c:dLbls>
          <c:showLegendKey val="0"/>
          <c:showVal val="1"/>
          <c:showCatName val="0"/>
          <c:showSerName val="0"/>
          <c:showPercent val="0"/>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3ac256a-c763-42d9-b139-fc7619eb5d8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预算支出占比图</a:t>
            </a:r>
          </a:p>
        </c:rich>
      </c:tx>
      <c:layout>
        <c:manualLayout>
          <c:xMode val="edge"/>
          <c:yMode val="edge"/>
          <c:x val="0.279002203967141"/>
          <c:y val="0.0531914893617021"/>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dLbl>
              <c:idx val="0"/>
              <c:layout>
                <c:manualLayout>
                  <c:x val="-0.176964827166293"/>
                  <c:y val="0.039079333478374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57484383744986"/>
                  <c:y val="-0.20791139503499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[饼图模版.xlsx]Sheet1!$S$3:$T$3</c:f>
              <c:strCache>
                <c:ptCount val="2"/>
                <c:pt idx="0">
                  <c:v>基本支出</c:v>
                </c:pt>
                <c:pt idx="1">
                  <c:v>项目支出</c:v>
                </c:pt>
              </c:strCache>
            </c:strRef>
          </c:cat>
          <c:val>
            <c:numRef>
              <c:f>[饼图模版.xlsx]Sheet1!$S$4:$T$4</c:f>
              <c:numCache>
                <c:formatCode>#,##0.00</c:formatCode>
                <c:ptCount val="2"/>
                <c:pt idx="0">
                  <c:v>8762.67</c:v>
                </c:pt>
                <c:pt idx="1">
                  <c:v>14650.21</c:v>
                </c:pt>
              </c:numCache>
            </c:numRef>
          </c:val>
        </c:ser>
        <c:ser>
          <c:idx val="1"/>
          <c:order val="1"/>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[饼图模版.xlsx]Sheet1!$S$3:$T$3</c:f>
              <c:strCache>
                <c:ptCount val="2"/>
                <c:pt idx="0">
                  <c:v>基本支出</c:v>
                </c:pt>
                <c:pt idx="1">
                  <c:v>项目支出</c:v>
                </c:pt>
              </c:strCache>
            </c:strRef>
          </c:cat>
          <c:val>
            <c:numRef>
              <c:f>[饼图模版.xlsx]Sheet1!$P$5:$Q$5</c:f>
              <c:numCache>
                <c:formatCode>0.00%</c:formatCode>
                <c:ptCount val="2"/>
                <c:pt idx="0">
                  <c:v>0.7327</c:v>
                </c:pt>
                <c:pt idx="1">
                  <c:v>0.2673</c:v>
                </c:pt>
              </c:numCache>
            </c:numRef>
          </c:val>
        </c:ser>
        <c:dLbls>
          <c:showLegendKey val="0"/>
          <c:showVal val="0"/>
          <c:showCatName val="1"/>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07a5bf2-deeb-4160-8b0d-66599399975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6740</Words>
  <Characters>7421</Characters>
  <Lines>80</Lines>
  <Paragraphs>22</Paragraphs>
  <TotalTime>124</TotalTime>
  <ScaleCrop>false</ScaleCrop>
  <LinksUpToDate>false</LinksUpToDate>
  <CharactersWithSpaces>7497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2022-09-07T01:41:00Z</dcterms:created>
  <dc:creator>Richard Meng</dc:creator>
  <cp:lastModifiedBy>146</cp:lastModifiedBy>
  <cp:lastPrinted>2022-09-03T08:20:00Z</cp:lastPrinted>
  <dcterms:modified xsi:type="dcterms:W3CDTF">2025-01-23T05:43:26Z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D01B5B60E3BA4123A53948E7047D96F9</vt:lpwstr>
  </property>
  <property fmtid="{D5CDD505-2E9C-101B-9397-08002B2CF9AE}" pid="4" name="commondata">
    <vt:lpwstr>eyJoZGlkIjoiMDUyZTZiOWNhNTRkM2JiNDQwZWRmZDZjZTIwNDhiY2IifQ==</vt:lpwstr>
  </property>
  <property fmtid="{D5CDD505-2E9C-101B-9397-08002B2CF9AE}" pid="5" name="KSOTemplateDocerSaveRecord">
    <vt:lpwstr>eyJoZGlkIjoiMGIyMGQ5ZWEyMTkxMzk5MTRhMDdiZmI4MDBjODcxNTciLCJ1c2VySWQiOiI0NDQ4OTc2NDkifQ==</vt:lpwstr>
  </property>
</Properties>
</file>